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drawings/drawing6.xml" ContentType="application/vnd.openxmlformats-officedocument.drawingml.chartshapes+xml"/>
  <Override PartName="/word/charts/chart10.xml" ContentType="application/vnd.openxmlformats-officedocument.drawingml.chart+xml"/>
  <Override PartName="/word/drawings/drawing7.xml" ContentType="application/vnd.openxmlformats-officedocument.drawingml.chartshapes+xml"/>
  <Override PartName="/word/charts/chart11.xml" ContentType="application/vnd.openxmlformats-officedocument.drawingml.chart+xml"/>
  <Override PartName="/word/drawings/drawing8.xml" ContentType="application/vnd.openxmlformats-officedocument.drawingml.chartshapes+xml"/>
  <Override PartName="/word/charts/chart12.xml" ContentType="application/vnd.openxmlformats-officedocument.drawingml.chart+xml"/>
  <Override PartName="/word/drawings/drawing9.xml" ContentType="application/vnd.openxmlformats-officedocument.drawingml.chartshapes+xml"/>
  <Override PartName="/word/charts/chart13.xml" ContentType="application/vnd.openxmlformats-officedocument.drawingml.chart+xml"/>
  <Override PartName="/word/drawings/drawing10.xml" ContentType="application/vnd.openxmlformats-officedocument.drawingml.chartshapes+xml"/>
  <Override PartName="/word/charts/chart14.xml" ContentType="application/vnd.openxmlformats-officedocument.drawingml.chart+xml"/>
  <Override PartName="/word/theme/themeOverride2.xml" ContentType="application/vnd.openxmlformats-officedocument.themeOverride+xml"/>
  <Override PartName="/word/charts/chart15.xml" ContentType="application/vnd.openxmlformats-officedocument.drawingml.chart+xml"/>
  <Override PartName="/word/theme/themeOverride3.xml" ContentType="application/vnd.openxmlformats-officedocument.themeOverride+xml"/>
  <Override PartName="/word/charts/chart16.xml" ContentType="application/vnd.openxmlformats-officedocument.drawingml.chart+xml"/>
  <Override PartName="/word/theme/themeOverride4.xml" ContentType="application/vnd.openxmlformats-officedocument.themeOverride+xml"/>
  <Override PartName="/word/charts/chart17.xml" ContentType="application/vnd.openxmlformats-officedocument.drawingml.chart+xml"/>
  <Override PartName="/word/drawings/drawing1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E9C2CA" w14:textId="77777777" w:rsidR="00F36AFD" w:rsidRDefault="00F36AFD" w:rsidP="00F36AFD">
      <w:pPr>
        <w:spacing w:before="240" w:after="240"/>
        <w:jc w:val="center"/>
        <w:rPr>
          <w:b/>
          <w:sz w:val="36"/>
          <w:szCs w:val="36"/>
        </w:rPr>
      </w:pPr>
      <w:bookmarkStart w:id="0" w:name="_Toc25067646"/>
      <w:bookmarkStart w:id="1" w:name="_Toc25084443"/>
    </w:p>
    <w:p w14:paraId="4AE29553" w14:textId="77777777" w:rsidR="00F36AFD" w:rsidRDefault="00F36AFD" w:rsidP="00F36AFD">
      <w:pPr>
        <w:spacing w:before="240" w:after="240"/>
        <w:jc w:val="center"/>
        <w:rPr>
          <w:b/>
          <w:sz w:val="36"/>
          <w:szCs w:val="36"/>
        </w:rPr>
      </w:pPr>
    </w:p>
    <w:p w14:paraId="7187781A" w14:textId="77777777" w:rsidR="00F36AFD" w:rsidRDefault="00F36AFD" w:rsidP="00F36AFD">
      <w:pPr>
        <w:spacing w:before="240" w:after="240"/>
        <w:jc w:val="center"/>
        <w:rPr>
          <w:b/>
          <w:sz w:val="36"/>
          <w:szCs w:val="36"/>
        </w:rPr>
      </w:pPr>
    </w:p>
    <w:p w14:paraId="75176D4F" w14:textId="77777777" w:rsidR="00F36AFD" w:rsidRDefault="00F36AFD" w:rsidP="00F36AFD">
      <w:pPr>
        <w:spacing w:before="240" w:after="240"/>
        <w:jc w:val="center"/>
        <w:rPr>
          <w:b/>
          <w:sz w:val="36"/>
          <w:szCs w:val="36"/>
        </w:rPr>
      </w:pPr>
    </w:p>
    <w:p w14:paraId="1EC9773F" w14:textId="77777777" w:rsidR="00F36AFD" w:rsidRDefault="00F36AFD" w:rsidP="00F36AFD">
      <w:pPr>
        <w:spacing w:before="240" w:after="240"/>
        <w:jc w:val="center"/>
        <w:rPr>
          <w:b/>
          <w:sz w:val="36"/>
          <w:szCs w:val="36"/>
        </w:rPr>
      </w:pPr>
    </w:p>
    <w:p w14:paraId="31F075FE" w14:textId="77777777" w:rsidR="00F36AFD" w:rsidRDefault="00F36AFD" w:rsidP="00F36AFD">
      <w:pPr>
        <w:spacing w:before="240" w:after="240"/>
        <w:jc w:val="center"/>
        <w:rPr>
          <w:b/>
          <w:sz w:val="36"/>
          <w:szCs w:val="36"/>
        </w:rPr>
      </w:pPr>
    </w:p>
    <w:p w14:paraId="70EB5D66" w14:textId="77777777" w:rsidR="00F36AFD" w:rsidRDefault="00DD5E22" w:rsidP="00F36AFD">
      <w:pPr>
        <w:spacing w:before="240" w:after="240"/>
        <w:jc w:val="center"/>
        <w:rPr>
          <w:b/>
          <w:sz w:val="36"/>
          <w:szCs w:val="36"/>
        </w:rPr>
      </w:pPr>
      <w:r>
        <w:rPr>
          <w:b/>
          <w:sz w:val="36"/>
          <w:szCs w:val="36"/>
        </w:rPr>
        <w:t>Příloha k A</w:t>
      </w:r>
      <w:r w:rsidR="00F36AFD" w:rsidRPr="00F36AFD">
        <w:rPr>
          <w:b/>
          <w:sz w:val="36"/>
          <w:szCs w:val="36"/>
        </w:rPr>
        <w:t>ktuali</w:t>
      </w:r>
      <w:r w:rsidR="00775A75">
        <w:rPr>
          <w:b/>
          <w:sz w:val="36"/>
          <w:szCs w:val="36"/>
        </w:rPr>
        <w:t>zaci Národního akčního plánu čisté mobility</w:t>
      </w:r>
    </w:p>
    <w:p w14:paraId="106B00E0" w14:textId="77777777" w:rsidR="00775A75" w:rsidRDefault="00775A75" w:rsidP="00F36AFD">
      <w:pPr>
        <w:spacing w:before="240" w:after="240"/>
        <w:jc w:val="center"/>
        <w:rPr>
          <w:b/>
          <w:sz w:val="36"/>
          <w:szCs w:val="36"/>
        </w:rPr>
      </w:pPr>
      <w:r>
        <w:rPr>
          <w:b/>
          <w:sz w:val="36"/>
          <w:szCs w:val="36"/>
        </w:rPr>
        <w:t>2019</w:t>
      </w:r>
    </w:p>
    <w:p w14:paraId="740D5DB9" w14:textId="77777777" w:rsidR="00F36AFD" w:rsidRDefault="00F36AFD" w:rsidP="00F36AFD">
      <w:pPr>
        <w:spacing w:before="240" w:after="240"/>
        <w:jc w:val="center"/>
        <w:rPr>
          <w:b/>
          <w:sz w:val="36"/>
          <w:szCs w:val="36"/>
        </w:rPr>
      </w:pPr>
    </w:p>
    <w:p w14:paraId="3FD185EE" w14:textId="77777777" w:rsidR="00F36AFD" w:rsidRDefault="00F36AFD" w:rsidP="00F36AFD">
      <w:pPr>
        <w:spacing w:before="240" w:after="240"/>
        <w:jc w:val="center"/>
        <w:rPr>
          <w:b/>
          <w:sz w:val="36"/>
          <w:szCs w:val="36"/>
        </w:rPr>
      </w:pPr>
    </w:p>
    <w:p w14:paraId="640BE1E3" w14:textId="77777777" w:rsidR="00F36AFD" w:rsidRDefault="00F36AFD" w:rsidP="00F36AFD">
      <w:pPr>
        <w:spacing w:before="240" w:after="240"/>
        <w:jc w:val="center"/>
        <w:rPr>
          <w:b/>
          <w:sz w:val="36"/>
          <w:szCs w:val="36"/>
        </w:rPr>
      </w:pPr>
    </w:p>
    <w:p w14:paraId="36E5A6EB" w14:textId="77777777" w:rsidR="00F36AFD" w:rsidRDefault="00F36AFD" w:rsidP="00F36AFD">
      <w:pPr>
        <w:spacing w:before="240" w:after="240"/>
        <w:jc w:val="center"/>
        <w:rPr>
          <w:b/>
          <w:sz w:val="36"/>
          <w:szCs w:val="36"/>
        </w:rPr>
      </w:pPr>
    </w:p>
    <w:p w14:paraId="23415CF7" w14:textId="77777777" w:rsidR="00F36AFD" w:rsidRDefault="00F36AFD" w:rsidP="00F36AFD">
      <w:pPr>
        <w:spacing w:before="240" w:after="240"/>
        <w:jc w:val="center"/>
        <w:rPr>
          <w:b/>
          <w:sz w:val="36"/>
          <w:szCs w:val="36"/>
        </w:rPr>
      </w:pPr>
    </w:p>
    <w:p w14:paraId="1D98302C" w14:textId="77777777" w:rsidR="00F36AFD" w:rsidRDefault="00F36AFD" w:rsidP="00F36AFD">
      <w:pPr>
        <w:spacing w:before="240" w:after="240"/>
        <w:jc w:val="center"/>
        <w:rPr>
          <w:b/>
          <w:sz w:val="36"/>
          <w:szCs w:val="36"/>
        </w:rPr>
      </w:pPr>
    </w:p>
    <w:p w14:paraId="727CC38D" w14:textId="77777777" w:rsidR="00F36AFD" w:rsidRDefault="00F36AFD" w:rsidP="00F36AFD">
      <w:pPr>
        <w:spacing w:before="240" w:after="240"/>
        <w:jc w:val="center"/>
        <w:rPr>
          <w:b/>
          <w:sz w:val="36"/>
          <w:szCs w:val="36"/>
        </w:rPr>
      </w:pPr>
    </w:p>
    <w:p w14:paraId="3766E193" w14:textId="77777777" w:rsidR="00F36AFD" w:rsidRDefault="00F36AFD" w:rsidP="00F36AFD">
      <w:pPr>
        <w:spacing w:before="240" w:after="240"/>
        <w:jc w:val="center"/>
        <w:rPr>
          <w:b/>
          <w:sz w:val="36"/>
          <w:szCs w:val="36"/>
        </w:rPr>
      </w:pPr>
    </w:p>
    <w:p w14:paraId="00E886DE" w14:textId="77777777" w:rsidR="00F36AFD" w:rsidRDefault="00F36AFD" w:rsidP="00F36AFD">
      <w:pPr>
        <w:spacing w:before="240" w:after="240"/>
        <w:jc w:val="center"/>
        <w:rPr>
          <w:b/>
          <w:sz w:val="36"/>
          <w:szCs w:val="36"/>
        </w:rPr>
      </w:pPr>
    </w:p>
    <w:p w14:paraId="738AAA8B" w14:textId="77777777" w:rsidR="00F36AFD" w:rsidRDefault="00F36AFD" w:rsidP="00F36AFD">
      <w:pPr>
        <w:spacing w:before="240" w:after="240"/>
        <w:jc w:val="center"/>
        <w:rPr>
          <w:b/>
          <w:sz w:val="36"/>
          <w:szCs w:val="36"/>
        </w:rPr>
      </w:pPr>
    </w:p>
    <w:p w14:paraId="29BD83AB" w14:textId="77777777" w:rsidR="00F36AFD" w:rsidRDefault="00F36AFD" w:rsidP="00F36AFD">
      <w:pPr>
        <w:spacing w:before="240" w:after="240"/>
        <w:jc w:val="center"/>
        <w:rPr>
          <w:b/>
          <w:sz w:val="36"/>
          <w:szCs w:val="36"/>
        </w:rPr>
      </w:pPr>
    </w:p>
    <w:p w14:paraId="66710F29" w14:textId="77777777" w:rsidR="00F36AFD" w:rsidRDefault="00F36AFD" w:rsidP="00F36AFD">
      <w:pPr>
        <w:spacing w:before="240" w:after="240"/>
        <w:jc w:val="center"/>
        <w:rPr>
          <w:b/>
          <w:sz w:val="36"/>
          <w:szCs w:val="36"/>
        </w:rPr>
      </w:pPr>
    </w:p>
    <w:p w14:paraId="1A5F8225" w14:textId="77777777" w:rsidR="00F36AFD" w:rsidRDefault="00F36AFD" w:rsidP="00F36AFD">
      <w:pPr>
        <w:spacing w:before="240" w:after="240"/>
        <w:jc w:val="center"/>
        <w:rPr>
          <w:b/>
          <w:sz w:val="36"/>
          <w:szCs w:val="36"/>
        </w:rPr>
      </w:pPr>
    </w:p>
    <w:p w14:paraId="5D108EA5" w14:textId="77777777" w:rsidR="00F36AFD" w:rsidRDefault="00F36AFD" w:rsidP="00F36AFD">
      <w:pPr>
        <w:spacing w:before="240" w:after="240"/>
        <w:jc w:val="center"/>
        <w:rPr>
          <w:b/>
          <w:sz w:val="36"/>
          <w:szCs w:val="36"/>
        </w:rPr>
      </w:pPr>
    </w:p>
    <w:p w14:paraId="5F3D3B89" w14:textId="77777777" w:rsidR="00190DCC" w:rsidRPr="00833A2A" w:rsidRDefault="00190DCC" w:rsidP="00833A2A">
      <w:pPr>
        <w:pStyle w:val="Nadpisobsahuaseznamu"/>
      </w:pPr>
      <w:r w:rsidRPr="00833A2A">
        <w:t>obsah</w:t>
      </w:r>
    </w:p>
    <w:bookmarkStart w:id="2" w:name="_GoBack"/>
    <w:bookmarkEnd w:id="2"/>
    <w:p w14:paraId="7C16E51A" w14:textId="77777777" w:rsidR="00276F69" w:rsidRDefault="00190DCC">
      <w:pPr>
        <w:pStyle w:val="Obsah1"/>
        <w:rPr>
          <w:rFonts w:asciiTheme="minorHAnsi" w:eastAsiaTheme="minorEastAsia" w:hAnsiTheme="minorHAnsi" w:cstheme="minorBidi"/>
          <w:b w:val="0"/>
          <w:sz w:val="22"/>
          <w:szCs w:val="22"/>
        </w:rPr>
      </w:pPr>
      <w:r w:rsidRPr="00190DCC">
        <w:rPr>
          <w:rFonts w:cs="Arial"/>
          <w:bCs/>
          <w:szCs w:val="22"/>
        </w:rPr>
        <w:fldChar w:fldCharType="begin"/>
      </w:r>
      <w:r w:rsidRPr="00190DCC">
        <w:rPr>
          <w:rFonts w:cs="Arial"/>
          <w:bCs/>
          <w:szCs w:val="22"/>
        </w:rPr>
        <w:instrText xml:space="preserve"> TOC \o "1-4" \h \z </w:instrText>
      </w:r>
      <w:r w:rsidRPr="00190DCC">
        <w:rPr>
          <w:rFonts w:cs="Arial"/>
          <w:bCs/>
          <w:szCs w:val="22"/>
        </w:rPr>
        <w:fldChar w:fldCharType="separate"/>
      </w:r>
      <w:hyperlink w:anchor="_Toc34295877" w:history="1">
        <w:r w:rsidR="00276F69" w:rsidRPr="00532632">
          <w:rPr>
            <w:rStyle w:val="Hypertextovodkaz"/>
          </w:rPr>
          <w:t>1.</w:t>
        </w:r>
        <w:r w:rsidR="00276F69">
          <w:rPr>
            <w:rFonts w:asciiTheme="minorHAnsi" w:eastAsiaTheme="minorEastAsia" w:hAnsiTheme="minorHAnsi" w:cstheme="minorBidi"/>
            <w:b w:val="0"/>
            <w:sz w:val="22"/>
            <w:szCs w:val="22"/>
          </w:rPr>
          <w:tab/>
        </w:r>
        <w:r w:rsidR="00276F69" w:rsidRPr="00532632">
          <w:rPr>
            <w:rStyle w:val="Hypertextovodkaz"/>
          </w:rPr>
          <w:t>Analytický materiál</w:t>
        </w:r>
        <w:r w:rsidR="00276F69">
          <w:rPr>
            <w:webHidden/>
          </w:rPr>
          <w:tab/>
        </w:r>
        <w:r w:rsidR="00276F69">
          <w:rPr>
            <w:webHidden/>
          </w:rPr>
          <w:fldChar w:fldCharType="begin"/>
        </w:r>
        <w:r w:rsidR="00276F69">
          <w:rPr>
            <w:webHidden/>
          </w:rPr>
          <w:instrText xml:space="preserve"> PAGEREF _Toc34295877 \h </w:instrText>
        </w:r>
        <w:r w:rsidR="00276F69">
          <w:rPr>
            <w:webHidden/>
          </w:rPr>
        </w:r>
        <w:r w:rsidR="00276F69">
          <w:rPr>
            <w:webHidden/>
          </w:rPr>
          <w:fldChar w:fldCharType="separate"/>
        </w:r>
        <w:r w:rsidR="00276F69">
          <w:rPr>
            <w:webHidden/>
          </w:rPr>
          <w:t>5</w:t>
        </w:r>
        <w:r w:rsidR="00276F69">
          <w:rPr>
            <w:webHidden/>
          </w:rPr>
          <w:fldChar w:fldCharType="end"/>
        </w:r>
      </w:hyperlink>
    </w:p>
    <w:p w14:paraId="156004E4"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878" w:history="1">
        <w:r w:rsidRPr="00532632">
          <w:rPr>
            <w:rStyle w:val="Hypertextovodkaz"/>
            <w:rFonts w:eastAsiaTheme="majorEastAsia"/>
            <w:noProof/>
          </w:rPr>
          <w:t>1.1</w:t>
        </w:r>
        <w:r>
          <w:rPr>
            <w:rFonts w:asciiTheme="minorHAnsi" w:eastAsiaTheme="minorEastAsia" w:hAnsiTheme="minorHAnsi" w:cstheme="minorBidi"/>
            <w:b w:val="0"/>
            <w:noProof/>
            <w:sz w:val="22"/>
            <w:szCs w:val="22"/>
          </w:rPr>
          <w:tab/>
        </w:r>
        <w:r w:rsidRPr="00532632">
          <w:rPr>
            <w:rStyle w:val="Hypertextovodkaz"/>
            <w:rFonts w:eastAsiaTheme="majorEastAsia"/>
            <w:noProof/>
          </w:rPr>
          <w:t>Obecná východiska pro aktualizaci NAP CM</w:t>
        </w:r>
        <w:r>
          <w:rPr>
            <w:noProof/>
            <w:webHidden/>
          </w:rPr>
          <w:tab/>
        </w:r>
        <w:r>
          <w:rPr>
            <w:noProof/>
            <w:webHidden/>
          </w:rPr>
          <w:fldChar w:fldCharType="begin"/>
        </w:r>
        <w:r>
          <w:rPr>
            <w:noProof/>
            <w:webHidden/>
          </w:rPr>
          <w:instrText xml:space="preserve"> PAGEREF _Toc34295878 \h </w:instrText>
        </w:r>
        <w:r>
          <w:rPr>
            <w:noProof/>
            <w:webHidden/>
          </w:rPr>
        </w:r>
        <w:r>
          <w:rPr>
            <w:noProof/>
            <w:webHidden/>
          </w:rPr>
          <w:fldChar w:fldCharType="separate"/>
        </w:r>
        <w:r>
          <w:rPr>
            <w:noProof/>
            <w:webHidden/>
          </w:rPr>
          <w:t>5</w:t>
        </w:r>
        <w:r>
          <w:rPr>
            <w:noProof/>
            <w:webHidden/>
          </w:rPr>
          <w:fldChar w:fldCharType="end"/>
        </w:r>
      </w:hyperlink>
    </w:p>
    <w:p w14:paraId="1FA86EC7"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79" w:history="1">
        <w:r w:rsidRPr="00532632">
          <w:rPr>
            <w:rStyle w:val="Hypertextovodkaz"/>
            <w:rFonts w:eastAsiaTheme="majorEastAsia"/>
            <w:noProof/>
          </w:rPr>
          <w:t>1.1.1.</w:t>
        </w:r>
        <w:r>
          <w:rPr>
            <w:rFonts w:asciiTheme="minorHAnsi" w:eastAsiaTheme="minorEastAsia" w:hAnsiTheme="minorHAnsi" w:cstheme="minorBidi"/>
            <w:noProof/>
            <w:szCs w:val="22"/>
          </w:rPr>
          <w:tab/>
        </w:r>
        <w:r w:rsidRPr="00532632">
          <w:rPr>
            <w:rStyle w:val="Hypertextovodkaz"/>
            <w:rFonts w:eastAsiaTheme="majorEastAsia"/>
            <w:noProof/>
          </w:rPr>
          <w:t>Pařížská klimaticko-energetická dohoda coby nový mezinárodně-právní rámec politiky klimatu</w:t>
        </w:r>
        <w:r>
          <w:rPr>
            <w:noProof/>
            <w:webHidden/>
          </w:rPr>
          <w:tab/>
        </w:r>
        <w:r>
          <w:rPr>
            <w:noProof/>
            <w:webHidden/>
          </w:rPr>
          <w:fldChar w:fldCharType="begin"/>
        </w:r>
        <w:r>
          <w:rPr>
            <w:noProof/>
            <w:webHidden/>
          </w:rPr>
          <w:instrText xml:space="preserve"> PAGEREF _Toc34295879 \h </w:instrText>
        </w:r>
        <w:r>
          <w:rPr>
            <w:noProof/>
            <w:webHidden/>
          </w:rPr>
        </w:r>
        <w:r>
          <w:rPr>
            <w:noProof/>
            <w:webHidden/>
          </w:rPr>
          <w:fldChar w:fldCharType="separate"/>
        </w:r>
        <w:r>
          <w:rPr>
            <w:noProof/>
            <w:webHidden/>
          </w:rPr>
          <w:t>5</w:t>
        </w:r>
        <w:r>
          <w:rPr>
            <w:noProof/>
            <w:webHidden/>
          </w:rPr>
          <w:fldChar w:fldCharType="end"/>
        </w:r>
      </w:hyperlink>
    </w:p>
    <w:p w14:paraId="1BAE9ADE"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0" w:history="1">
        <w:r w:rsidRPr="00532632">
          <w:rPr>
            <w:rStyle w:val="Hypertextovodkaz"/>
            <w:rFonts w:eastAsiaTheme="majorEastAsia"/>
            <w:noProof/>
          </w:rPr>
          <w:t>1.1.2.</w:t>
        </w:r>
        <w:r>
          <w:rPr>
            <w:rFonts w:asciiTheme="minorHAnsi" w:eastAsiaTheme="minorEastAsia" w:hAnsiTheme="minorHAnsi" w:cstheme="minorBidi"/>
            <w:noProof/>
            <w:szCs w:val="22"/>
          </w:rPr>
          <w:tab/>
        </w:r>
        <w:r w:rsidRPr="00532632">
          <w:rPr>
            <w:rStyle w:val="Hypertextovodkaz"/>
            <w:rFonts w:eastAsiaTheme="majorEastAsia"/>
            <w:noProof/>
          </w:rPr>
          <w:t>Vnitrostátní plán ČR v oblasti energetiky a klimatu</w:t>
        </w:r>
        <w:r>
          <w:rPr>
            <w:noProof/>
            <w:webHidden/>
          </w:rPr>
          <w:tab/>
        </w:r>
        <w:r>
          <w:rPr>
            <w:noProof/>
            <w:webHidden/>
          </w:rPr>
          <w:fldChar w:fldCharType="begin"/>
        </w:r>
        <w:r>
          <w:rPr>
            <w:noProof/>
            <w:webHidden/>
          </w:rPr>
          <w:instrText xml:space="preserve"> PAGEREF _Toc34295880 \h </w:instrText>
        </w:r>
        <w:r>
          <w:rPr>
            <w:noProof/>
            <w:webHidden/>
          </w:rPr>
        </w:r>
        <w:r>
          <w:rPr>
            <w:noProof/>
            <w:webHidden/>
          </w:rPr>
          <w:fldChar w:fldCharType="separate"/>
        </w:r>
        <w:r>
          <w:rPr>
            <w:noProof/>
            <w:webHidden/>
          </w:rPr>
          <w:t>5</w:t>
        </w:r>
        <w:r>
          <w:rPr>
            <w:noProof/>
            <w:webHidden/>
          </w:rPr>
          <w:fldChar w:fldCharType="end"/>
        </w:r>
      </w:hyperlink>
    </w:p>
    <w:p w14:paraId="1477F092"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1" w:history="1">
        <w:r w:rsidRPr="00532632">
          <w:rPr>
            <w:rStyle w:val="Hypertextovodkaz"/>
            <w:rFonts w:eastAsiaTheme="majorEastAsia"/>
            <w:noProof/>
          </w:rPr>
          <w:t>1.1.3.</w:t>
        </w:r>
        <w:r>
          <w:rPr>
            <w:rFonts w:asciiTheme="minorHAnsi" w:eastAsiaTheme="minorEastAsia" w:hAnsiTheme="minorHAnsi" w:cstheme="minorBidi"/>
            <w:noProof/>
            <w:szCs w:val="22"/>
          </w:rPr>
          <w:tab/>
        </w:r>
        <w:r w:rsidRPr="00532632">
          <w:rPr>
            <w:rStyle w:val="Hypertextovodkaz"/>
            <w:rFonts w:eastAsiaTheme="majorEastAsia"/>
            <w:noProof/>
          </w:rPr>
          <w:t>Nový strategický rámec EU ve vztahu k čisté mobilitě</w:t>
        </w:r>
        <w:r>
          <w:rPr>
            <w:noProof/>
            <w:webHidden/>
          </w:rPr>
          <w:tab/>
        </w:r>
        <w:r>
          <w:rPr>
            <w:noProof/>
            <w:webHidden/>
          </w:rPr>
          <w:fldChar w:fldCharType="begin"/>
        </w:r>
        <w:r>
          <w:rPr>
            <w:noProof/>
            <w:webHidden/>
          </w:rPr>
          <w:instrText xml:space="preserve"> PAGEREF _Toc34295881 \h </w:instrText>
        </w:r>
        <w:r>
          <w:rPr>
            <w:noProof/>
            <w:webHidden/>
          </w:rPr>
        </w:r>
        <w:r>
          <w:rPr>
            <w:noProof/>
            <w:webHidden/>
          </w:rPr>
          <w:fldChar w:fldCharType="separate"/>
        </w:r>
        <w:r>
          <w:rPr>
            <w:noProof/>
            <w:webHidden/>
          </w:rPr>
          <w:t>5</w:t>
        </w:r>
        <w:r>
          <w:rPr>
            <w:noProof/>
            <w:webHidden/>
          </w:rPr>
          <w:fldChar w:fldCharType="end"/>
        </w:r>
      </w:hyperlink>
    </w:p>
    <w:p w14:paraId="5854D42C"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2" w:history="1">
        <w:r w:rsidRPr="00532632">
          <w:rPr>
            <w:rStyle w:val="Hypertextovodkaz"/>
            <w:rFonts w:eastAsiaTheme="majorEastAsia"/>
            <w:noProof/>
          </w:rPr>
          <w:t>1.1.4.</w:t>
        </w:r>
        <w:r>
          <w:rPr>
            <w:rFonts w:asciiTheme="minorHAnsi" w:eastAsiaTheme="minorEastAsia" w:hAnsiTheme="minorHAnsi" w:cstheme="minorBidi"/>
            <w:noProof/>
            <w:szCs w:val="22"/>
          </w:rPr>
          <w:tab/>
        </w:r>
        <w:r w:rsidRPr="00532632">
          <w:rPr>
            <w:rStyle w:val="Hypertextovodkaz"/>
            <w:rFonts w:eastAsiaTheme="majorEastAsia"/>
            <w:noProof/>
          </w:rPr>
          <w:t>Nová evropská legislativa ve vztahu k problematice emisí skleníkových plynů po roce 2020</w:t>
        </w:r>
        <w:r>
          <w:rPr>
            <w:noProof/>
            <w:webHidden/>
          </w:rPr>
          <w:tab/>
        </w:r>
        <w:r>
          <w:rPr>
            <w:noProof/>
            <w:webHidden/>
          </w:rPr>
          <w:fldChar w:fldCharType="begin"/>
        </w:r>
        <w:r>
          <w:rPr>
            <w:noProof/>
            <w:webHidden/>
          </w:rPr>
          <w:instrText xml:space="preserve"> PAGEREF _Toc34295882 \h </w:instrText>
        </w:r>
        <w:r>
          <w:rPr>
            <w:noProof/>
            <w:webHidden/>
          </w:rPr>
        </w:r>
        <w:r>
          <w:rPr>
            <w:noProof/>
            <w:webHidden/>
          </w:rPr>
          <w:fldChar w:fldCharType="separate"/>
        </w:r>
        <w:r>
          <w:rPr>
            <w:noProof/>
            <w:webHidden/>
          </w:rPr>
          <w:t>6</w:t>
        </w:r>
        <w:r>
          <w:rPr>
            <w:noProof/>
            <w:webHidden/>
          </w:rPr>
          <w:fldChar w:fldCharType="end"/>
        </w:r>
      </w:hyperlink>
    </w:p>
    <w:p w14:paraId="495C9298"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3" w:history="1">
        <w:r w:rsidRPr="00532632">
          <w:rPr>
            <w:rStyle w:val="Hypertextovodkaz"/>
            <w:rFonts w:eastAsiaTheme="majorEastAsia"/>
            <w:noProof/>
          </w:rPr>
          <w:t>1.1.5.</w:t>
        </w:r>
        <w:r>
          <w:rPr>
            <w:rFonts w:asciiTheme="minorHAnsi" w:eastAsiaTheme="minorEastAsia" w:hAnsiTheme="minorHAnsi" w:cstheme="minorBidi"/>
            <w:noProof/>
            <w:szCs w:val="22"/>
          </w:rPr>
          <w:tab/>
        </w:r>
        <w:r w:rsidRPr="00532632">
          <w:rPr>
            <w:rStyle w:val="Hypertextovodkaz"/>
            <w:rFonts w:eastAsiaTheme="majorEastAsia"/>
            <w:noProof/>
          </w:rPr>
          <w:t>Další důležitá legislativa EU dotýkající problematiky čisté mobility</w:t>
        </w:r>
        <w:r>
          <w:rPr>
            <w:noProof/>
            <w:webHidden/>
          </w:rPr>
          <w:tab/>
        </w:r>
        <w:r>
          <w:rPr>
            <w:noProof/>
            <w:webHidden/>
          </w:rPr>
          <w:fldChar w:fldCharType="begin"/>
        </w:r>
        <w:r>
          <w:rPr>
            <w:noProof/>
            <w:webHidden/>
          </w:rPr>
          <w:instrText xml:space="preserve"> PAGEREF _Toc34295883 \h </w:instrText>
        </w:r>
        <w:r>
          <w:rPr>
            <w:noProof/>
            <w:webHidden/>
          </w:rPr>
        </w:r>
        <w:r>
          <w:rPr>
            <w:noProof/>
            <w:webHidden/>
          </w:rPr>
          <w:fldChar w:fldCharType="separate"/>
        </w:r>
        <w:r>
          <w:rPr>
            <w:noProof/>
            <w:webHidden/>
          </w:rPr>
          <w:t>7</w:t>
        </w:r>
        <w:r>
          <w:rPr>
            <w:noProof/>
            <w:webHidden/>
          </w:rPr>
          <w:fldChar w:fldCharType="end"/>
        </w:r>
      </w:hyperlink>
    </w:p>
    <w:p w14:paraId="7F70BFA9"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4" w:history="1">
        <w:r w:rsidRPr="00532632">
          <w:rPr>
            <w:rStyle w:val="Hypertextovodkaz"/>
            <w:rFonts w:eastAsiaTheme="majorEastAsia"/>
            <w:noProof/>
          </w:rPr>
          <w:t>1.1.6.</w:t>
        </w:r>
        <w:r>
          <w:rPr>
            <w:rFonts w:asciiTheme="minorHAnsi" w:eastAsiaTheme="minorEastAsia" w:hAnsiTheme="minorHAnsi" w:cstheme="minorBidi"/>
            <w:noProof/>
            <w:szCs w:val="22"/>
          </w:rPr>
          <w:tab/>
        </w:r>
        <w:r w:rsidRPr="00532632">
          <w:rPr>
            <w:rStyle w:val="Hypertextovodkaz"/>
            <w:rFonts w:eastAsiaTheme="majorEastAsia"/>
            <w:noProof/>
          </w:rPr>
          <w:t>Doporučení Komise vyplývající pro ČR z jejího posouzení vnitrostátních rámců politiky podle čl. 10 odst. 2 směrnice 2014/94/EU</w:t>
        </w:r>
        <w:r>
          <w:rPr>
            <w:noProof/>
            <w:webHidden/>
          </w:rPr>
          <w:tab/>
        </w:r>
        <w:r>
          <w:rPr>
            <w:noProof/>
            <w:webHidden/>
          </w:rPr>
          <w:fldChar w:fldCharType="begin"/>
        </w:r>
        <w:r>
          <w:rPr>
            <w:noProof/>
            <w:webHidden/>
          </w:rPr>
          <w:instrText xml:space="preserve"> PAGEREF _Toc34295884 \h </w:instrText>
        </w:r>
        <w:r>
          <w:rPr>
            <w:noProof/>
            <w:webHidden/>
          </w:rPr>
        </w:r>
        <w:r>
          <w:rPr>
            <w:noProof/>
            <w:webHidden/>
          </w:rPr>
          <w:fldChar w:fldCharType="separate"/>
        </w:r>
        <w:r>
          <w:rPr>
            <w:noProof/>
            <w:webHidden/>
          </w:rPr>
          <w:t>8</w:t>
        </w:r>
        <w:r>
          <w:rPr>
            <w:noProof/>
            <w:webHidden/>
          </w:rPr>
          <w:fldChar w:fldCharType="end"/>
        </w:r>
      </w:hyperlink>
    </w:p>
    <w:p w14:paraId="2375AC8F"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5" w:history="1">
        <w:r w:rsidRPr="00532632">
          <w:rPr>
            <w:rStyle w:val="Hypertextovodkaz"/>
            <w:rFonts w:eastAsiaTheme="majorEastAsia"/>
            <w:noProof/>
          </w:rPr>
          <w:t>1.1.7.</w:t>
        </w:r>
        <w:r>
          <w:rPr>
            <w:rFonts w:asciiTheme="minorHAnsi" w:eastAsiaTheme="minorEastAsia" w:hAnsiTheme="minorHAnsi" w:cstheme="minorBidi"/>
            <w:noProof/>
            <w:szCs w:val="22"/>
          </w:rPr>
          <w:tab/>
        </w:r>
        <w:r w:rsidRPr="00532632">
          <w:rPr>
            <w:rStyle w:val="Hypertextovodkaz"/>
            <w:rFonts w:eastAsiaTheme="majorEastAsia"/>
            <w:noProof/>
          </w:rPr>
          <w:t>Zavádění alternativních paliv v rámci sítě TEN-T</w:t>
        </w:r>
        <w:r>
          <w:rPr>
            <w:noProof/>
            <w:webHidden/>
          </w:rPr>
          <w:tab/>
        </w:r>
        <w:r>
          <w:rPr>
            <w:noProof/>
            <w:webHidden/>
          </w:rPr>
          <w:fldChar w:fldCharType="begin"/>
        </w:r>
        <w:r>
          <w:rPr>
            <w:noProof/>
            <w:webHidden/>
          </w:rPr>
          <w:instrText xml:space="preserve"> PAGEREF _Toc34295885 \h </w:instrText>
        </w:r>
        <w:r>
          <w:rPr>
            <w:noProof/>
            <w:webHidden/>
          </w:rPr>
        </w:r>
        <w:r>
          <w:rPr>
            <w:noProof/>
            <w:webHidden/>
          </w:rPr>
          <w:fldChar w:fldCharType="separate"/>
        </w:r>
        <w:r>
          <w:rPr>
            <w:noProof/>
            <w:webHidden/>
          </w:rPr>
          <w:t>9</w:t>
        </w:r>
        <w:r>
          <w:rPr>
            <w:noProof/>
            <w:webHidden/>
          </w:rPr>
          <w:fldChar w:fldCharType="end"/>
        </w:r>
      </w:hyperlink>
    </w:p>
    <w:p w14:paraId="7469AEA8"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6" w:history="1">
        <w:r w:rsidRPr="00532632">
          <w:rPr>
            <w:rStyle w:val="Hypertextovodkaz"/>
            <w:rFonts w:eastAsiaTheme="majorEastAsia"/>
            <w:noProof/>
          </w:rPr>
          <w:t>1.1.8.</w:t>
        </w:r>
        <w:r>
          <w:rPr>
            <w:rFonts w:asciiTheme="minorHAnsi" w:eastAsiaTheme="minorEastAsia" w:hAnsiTheme="minorHAnsi" w:cstheme="minorBidi"/>
            <w:noProof/>
            <w:szCs w:val="22"/>
          </w:rPr>
          <w:tab/>
        </w:r>
        <w:r w:rsidRPr="00532632">
          <w:rPr>
            <w:rStyle w:val="Hypertextovodkaz"/>
            <w:rFonts w:eastAsiaTheme="majorEastAsia"/>
            <w:noProof/>
          </w:rPr>
          <w:t>Daňová opatření uplatňovaná v jiných státech EU stimulující rozvoj čisté mobility</w:t>
        </w:r>
        <w:r>
          <w:rPr>
            <w:noProof/>
            <w:webHidden/>
          </w:rPr>
          <w:tab/>
        </w:r>
        <w:r>
          <w:rPr>
            <w:noProof/>
            <w:webHidden/>
          </w:rPr>
          <w:fldChar w:fldCharType="begin"/>
        </w:r>
        <w:r>
          <w:rPr>
            <w:noProof/>
            <w:webHidden/>
          </w:rPr>
          <w:instrText xml:space="preserve"> PAGEREF _Toc34295886 \h </w:instrText>
        </w:r>
        <w:r>
          <w:rPr>
            <w:noProof/>
            <w:webHidden/>
          </w:rPr>
        </w:r>
        <w:r>
          <w:rPr>
            <w:noProof/>
            <w:webHidden/>
          </w:rPr>
          <w:fldChar w:fldCharType="separate"/>
        </w:r>
        <w:r>
          <w:rPr>
            <w:noProof/>
            <w:webHidden/>
          </w:rPr>
          <w:t>9</w:t>
        </w:r>
        <w:r>
          <w:rPr>
            <w:noProof/>
            <w:webHidden/>
          </w:rPr>
          <w:fldChar w:fldCharType="end"/>
        </w:r>
      </w:hyperlink>
    </w:p>
    <w:p w14:paraId="155E5287"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887" w:history="1">
        <w:r w:rsidRPr="00532632">
          <w:rPr>
            <w:rStyle w:val="Hypertextovodkaz"/>
            <w:rFonts w:eastAsiaTheme="majorEastAsia"/>
            <w:noProof/>
          </w:rPr>
          <w:t>1.2</w:t>
        </w:r>
        <w:r>
          <w:rPr>
            <w:rFonts w:asciiTheme="minorHAnsi" w:eastAsiaTheme="minorEastAsia" w:hAnsiTheme="minorHAnsi" w:cstheme="minorBidi"/>
            <w:b w:val="0"/>
            <w:noProof/>
            <w:sz w:val="22"/>
            <w:szCs w:val="22"/>
          </w:rPr>
          <w:tab/>
        </w:r>
        <w:r w:rsidRPr="00532632">
          <w:rPr>
            <w:rStyle w:val="Hypertextovodkaz"/>
            <w:rFonts w:eastAsiaTheme="majorEastAsia"/>
            <w:noProof/>
          </w:rPr>
          <w:t>Ochrana ovzduší a klimatu</w:t>
        </w:r>
        <w:r>
          <w:rPr>
            <w:noProof/>
            <w:webHidden/>
          </w:rPr>
          <w:tab/>
        </w:r>
        <w:r>
          <w:rPr>
            <w:noProof/>
            <w:webHidden/>
          </w:rPr>
          <w:fldChar w:fldCharType="begin"/>
        </w:r>
        <w:r>
          <w:rPr>
            <w:noProof/>
            <w:webHidden/>
          </w:rPr>
          <w:instrText xml:space="preserve"> PAGEREF _Toc34295887 \h </w:instrText>
        </w:r>
        <w:r>
          <w:rPr>
            <w:noProof/>
            <w:webHidden/>
          </w:rPr>
        </w:r>
        <w:r>
          <w:rPr>
            <w:noProof/>
            <w:webHidden/>
          </w:rPr>
          <w:fldChar w:fldCharType="separate"/>
        </w:r>
        <w:r>
          <w:rPr>
            <w:noProof/>
            <w:webHidden/>
          </w:rPr>
          <w:t>10</w:t>
        </w:r>
        <w:r>
          <w:rPr>
            <w:noProof/>
            <w:webHidden/>
          </w:rPr>
          <w:fldChar w:fldCharType="end"/>
        </w:r>
      </w:hyperlink>
    </w:p>
    <w:p w14:paraId="5E90C34F"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8" w:history="1">
        <w:r w:rsidRPr="00532632">
          <w:rPr>
            <w:rStyle w:val="Hypertextovodkaz"/>
            <w:rFonts w:eastAsiaTheme="majorEastAsia"/>
            <w:noProof/>
          </w:rPr>
          <w:t>1.2.1.</w:t>
        </w:r>
        <w:r>
          <w:rPr>
            <w:rFonts w:asciiTheme="minorHAnsi" w:eastAsiaTheme="minorEastAsia" w:hAnsiTheme="minorHAnsi" w:cstheme="minorBidi"/>
            <w:noProof/>
            <w:szCs w:val="22"/>
          </w:rPr>
          <w:tab/>
        </w:r>
        <w:r w:rsidRPr="00532632">
          <w:rPr>
            <w:rStyle w:val="Hypertextovodkaz"/>
            <w:rFonts w:eastAsiaTheme="majorEastAsia"/>
            <w:noProof/>
          </w:rPr>
          <w:t>Ochrana ovzduší</w:t>
        </w:r>
        <w:r>
          <w:rPr>
            <w:noProof/>
            <w:webHidden/>
          </w:rPr>
          <w:tab/>
        </w:r>
        <w:r>
          <w:rPr>
            <w:noProof/>
            <w:webHidden/>
          </w:rPr>
          <w:fldChar w:fldCharType="begin"/>
        </w:r>
        <w:r>
          <w:rPr>
            <w:noProof/>
            <w:webHidden/>
          </w:rPr>
          <w:instrText xml:space="preserve"> PAGEREF _Toc34295888 \h </w:instrText>
        </w:r>
        <w:r>
          <w:rPr>
            <w:noProof/>
            <w:webHidden/>
          </w:rPr>
        </w:r>
        <w:r>
          <w:rPr>
            <w:noProof/>
            <w:webHidden/>
          </w:rPr>
          <w:fldChar w:fldCharType="separate"/>
        </w:r>
        <w:r>
          <w:rPr>
            <w:noProof/>
            <w:webHidden/>
          </w:rPr>
          <w:t>10</w:t>
        </w:r>
        <w:r>
          <w:rPr>
            <w:noProof/>
            <w:webHidden/>
          </w:rPr>
          <w:fldChar w:fldCharType="end"/>
        </w:r>
      </w:hyperlink>
    </w:p>
    <w:p w14:paraId="72A1855D"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89" w:history="1">
        <w:r w:rsidRPr="00532632">
          <w:rPr>
            <w:rStyle w:val="Hypertextovodkaz"/>
            <w:rFonts w:eastAsiaTheme="majorEastAsia"/>
            <w:noProof/>
          </w:rPr>
          <w:t>1.2.2.</w:t>
        </w:r>
        <w:r>
          <w:rPr>
            <w:rFonts w:asciiTheme="minorHAnsi" w:eastAsiaTheme="minorEastAsia" w:hAnsiTheme="minorHAnsi" w:cstheme="minorBidi"/>
            <w:noProof/>
            <w:szCs w:val="22"/>
          </w:rPr>
          <w:tab/>
        </w:r>
        <w:r w:rsidRPr="00532632">
          <w:rPr>
            <w:rStyle w:val="Hypertextovodkaz"/>
            <w:rFonts w:eastAsiaTheme="majorEastAsia"/>
            <w:noProof/>
          </w:rPr>
          <w:t>Ochrana klimatu</w:t>
        </w:r>
        <w:r>
          <w:rPr>
            <w:noProof/>
            <w:webHidden/>
          </w:rPr>
          <w:tab/>
        </w:r>
        <w:r>
          <w:rPr>
            <w:noProof/>
            <w:webHidden/>
          </w:rPr>
          <w:fldChar w:fldCharType="begin"/>
        </w:r>
        <w:r>
          <w:rPr>
            <w:noProof/>
            <w:webHidden/>
          </w:rPr>
          <w:instrText xml:space="preserve"> PAGEREF _Toc34295889 \h </w:instrText>
        </w:r>
        <w:r>
          <w:rPr>
            <w:noProof/>
            <w:webHidden/>
          </w:rPr>
        </w:r>
        <w:r>
          <w:rPr>
            <w:noProof/>
            <w:webHidden/>
          </w:rPr>
          <w:fldChar w:fldCharType="separate"/>
        </w:r>
        <w:r>
          <w:rPr>
            <w:noProof/>
            <w:webHidden/>
          </w:rPr>
          <w:t>11</w:t>
        </w:r>
        <w:r>
          <w:rPr>
            <w:noProof/>
            <w:webHidden/>
          </w:rPr>
          <w:fldChar w:fldCharType="end"/>
        </w:r>
      </w:hyperlink>
    </w:p>
    <w:p w14:paraId="39862E8E"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90" w:history="1">
        <w:r w:rsidRPr="00532632">
          <w:rPr>
            <w:rStyle w:val="Hypertextovodkaz"/>
            <w:rFonts w:eastAsiaTheme="majorEastAsia"/>
            <w:noProof/>
          </w:rPr>
          <w:t>1.2.3.</w:t>
        </w:r>
        <w:r>
          <w:rPr>
            <w:rFonts w:asciiTheme="minorHAnsi" w:eastAsiaTheme="minorEastAsia" w:hAnsiTheme="minorHAnsi" w:cstheme="minorBidi"/>
            <w:noProof/>
            <w:szCs w:val="22"/>
          </w:rPr>
          <w:tab/>
        </w:r>
        <w:r w:rsidRPr="00532632">
          <w:rPr>
            <w:rStyle w:val="Hypertextovodkaz"/>
            <w:rFonts w:eastAsiaTheme="majorEastAsia"/>
            <w:noProof/>
          </w:rPr>
          <w:t>Státní politika životního prostředí</w:t>
        </w:r>
        <w:r>
          <w:rPr>
            <w:noProof/>
            <w:webHidden/>
          </w:rPr>
          <w:tab/>
        </w:r>
        <w:r>
          <w:rPr>
            <w:noProof/>
            <w:webHidden/>
          </w:rPr>
          <w:fldChar w:fldCharType="begin"/>
        </w:r>
        <w:r>
          <w:rPr>
            <w:noProof/>
            <w:webHidden/>
          </w:rPr>
          <w:instrText xml:space="preserve"> PAGEREF _Toc34295890 \h </w:instrText>
        </w:r>
        <w:r>
          <w:rPr>
            <w:noProof/>
            <w:webHidden/>
          </w:rPr>
        </w:r>
        <w:r>
          <w:rPr>
            <w:noProof/>
            <w:webHidden/>
          </w:rPr>
          <w:fldChar w:fldCharType="separate"/>
        </w:r>
        <w:r>
          <w:rPr>
            <w:noProof/>
            <w:webHidden/>
          </w:rPr>
          <w:t>11</w:t>
        </w:r>
        <w:r>
          <w:rPr>
            <w:noProof/>
            <w:webHidden/>
          </w:rPr>
          <w:fldChar w:fldCharType="end"/>
        </w:r>
      </w:hyperlink>
    </w:p>
    <w:p w14:paraId="6BB4DB78"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91" w:history="1">
        <w:r w:rsidRPr="00532632">
          <w:rPr>
            <w:rStyle w:val="Hypertextovodkaz"/>
            <w:rFonts w:eastAsiaTheme="majorEastAsia"/>
            <w:noProof/>
          </w:rPr>
          <w:t>1.2.4.</w:t>
        </w:r>
        <w:r>
          <w:rPr>
            <w:rFonts w:asciiTheme="minorHAnsi" w:eastAsiaTheme="minorEastAsia" w:hAnsiTheme="minorHAnsi" w:cstheme="minorBidi"/>
            <w:noProof/>
            <w:szCs w:val="22"/>
          </w:rPr>
          <w:tab/>
        </w:r>
        <w:r w:rsidRPr="00532632">
          <w:rPr>
            <w:rStyle w:val="Hypertextovodkaz"/>
            <w:rFonts w:eastAsiaTheme="majorEastAsia"/>
            <w:noProof/>
          </w:rPr>
          <w:t>Národní program snižování emisí ČR</w:t>
        </w:r>
        <w:r>
          <w:rPr>
            <w:noProof/>
            <w:webHidden/>
          </w:rPr>
          <w:tab/>
        </w:r>
        <w:r>
          <w:rPr>
            <w:noProof/>
            <w:webHidden/>
          </w:rPr>
          <w:fldChar w:fldCharType="begin"/>
        </w:r>
        <w:r>
          <w:rPr>
            <w:noProof/>
            <w:webHidden/>
          </w:rPr>
          <w:instrText xml:space="preserve"> PAGEREF _Toc34295891 \h </w:instrText>
        </w:r>
        <w:r>
          <w:rPr>
            <w:noProof/>
            <w:webHidden/>
          </w:rPr>
        </w:r>
        <w:r>
          <w:rPr>
            <w:noProof/>
            <w:webHidden/>
          </w:rPr>
          <w:fldChar w:fldCharType="separate"/>
        </w:r>
        <w:r>
          <w:rPr>
            <w:noProof/>
            <w:webHidden/>
          </w:rPr>
          <w:t>12</w:t>
        </w:r>
        <w:r>
          <w:rPr>
            <w:noProof/>
            <w:webHidden/>
          </w:rPr>
          <w:fldChar w:fldCharType="end"/>
        </w:r>
      </w:hyperlink>
    </w:p>
    <w:p w14:paraId="14547B4A"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892" w:history="1">
        <w:r w:rsidRPr="00532632">
          <w:rPr>
            <w:rStyle w:val="Hypertextovodkaz"/>
            <w:rFonts w:eastAsiaTheme="majorEastAsia"/>
            <w:noProof/>
          </w:rPr>
          <w:t>1.3</w:t>
        </w:r>
        <w:r>
          <w:rPr>
            <w:rFonts w:asciiTheme="minorHAnsi" w:eastAsiaTheme="minorEastAsia" w:hAnsiTheme="minorHAnsi" w:cstheme="minorBidi"/>
            <w:b w:val="0"/>
            <w:noProof/>
            <w:sz w:val="22"/>
            <w:szCs w:val="22"/>
          </w:rPr>
          <w:tab/>
        </w:r>
        <w:r w:rsidRPr="00532632">
          <w:rPr>
            <w:rStyle w:val="Hypertextovodkaz"/>
            <w:rFonts w:eastAsiaTheme="majorEastAsia"/>
            <w:noProof/>
          </w:rPr>
          <w:t>Výzkum a vývoj</w:t>
        </w:r>
        <w:r>
          <w:rPr>
            <w:noProof/>
            <w:webHidden/>
          </w:rPr>
          <w:tab/>
        </w:r>
        <w:r>
          <w:rPr>
            <w:noProof/>
            <w:webHidden/>
          </w:rPr>
          <w:fldChar w:fldCharType="begin"/>
        </w:r>
        <w:r>
          <w:rPr>
            <w:noProof/>
            <w:webHidden/>
          </w:rPr>
          <w:instrText xml:space="preserve"> PAGEREF _Toc34295892 \h </w:instrText>
        </w:r>
        <w:r>
          <w:rPr>
            <w:noProof/>
            <w:webHidden/>
          </w:rPr>
        </w:r>
        <w:r>
          <w:rPr>
            <w:noProof/>
            <w:webHidden/>
          </w:rPr>
          <w:fldChar w:fldCharType="separate"/>
        </w:r>
        <w:r>
          <w:rPr>
            <w:noProof/>
            <w:webHidden/>
          </w:rPr>
          <w:t>12</w:t>
        </w:r>
        <w:r>
          <w:rPr>
            <w:noProof/>
            <w:webHidden/>
          </w:rPr>
          <w:fldChar w:fldCharType="end"/>
        </w:r>
      </w:hyperlink>
    </w:p>
    <w:p w14:paraId="080A808E"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93" w:history="1">
        <w:r w:rsidRPr="00532632">
          <w:rPr>
            <w:rStyle w:val="Hypertextovodkaz"/>
            <w:rFonts w:eastAsiaTheme="majorEastAsia"/>
            <w:noProof/>
          </w:rPr>
          <w:t>1.3.1.</w:t>
        </w:r>
        <w:r>
          <w:rPr>
            <w:rFonts w:asciiTheme="minorHAnsi" w:eastAsiaTheme="minorEastAsia" w:hAnsiTheme="minorHAnsi" w:cstheme="minorBidi"/>
            <w:noProof/>
            <w:szCs w:val="22"/>
          </w:rPr>
          <w:tab/>
        </w:r>
        <w:r w:rsidRPr="00532632">
          <w:rPr>
            <w:rStyle w:val="Hypertextovodkaz"/>
            <w:rFonts w:eastAsiaTheme="majorEastAsia"/>
            <w:noProof/>
          </w:rPr>
          <w:t>Výzkum a vývoj v oblasti čisté mobility v současnosti</w:t>
        </w:r>
        <w:r>
          <w:rPr>
            <w:noProof/>
            <w:webHidden/>
          </w:rPr>
          <w:tab/>
        </w:r>
        <w:r>
          <w:rPr>
            <w:noProof/>
            <w:webHidden/>
          </w:rPr>
          <w:fldChar w:fldCharType="begin"/>
        </w:r>
        <w:r>
          <w:rPr>
            <w:noProof/>
            <w:webHidden/>
          </w:rPr>
          <w:instrText xml:space="preserve"> PAGEREF _Toc34295893 \h </w:instrText>
        </w:r>
        <w:r>
          <w:rPr>
            <w:noProof/>
            <w:webHidden/>
          </w:rPr>
        </w:r>
        <w:r>
          <w:rPr>
            <w:noProof/>
            <w:webHidden/>
          </w:rPr>
          <w:fldChar w:fldCharType="separate"/>
        </w:r>
        <w:r>
          <w:rPr>
            <w:noProof/>
            <w:webHidden/>
          </w:rPr>
          <w:t>12</w:t>
        </w:r>
        <w:r>
          <w:rPr>
            <w:noProof/>
            <w:webHidden/>
          </w:rPr>
          <w:fldChar w:fldCharType="end"/>
        </w:r>
      </w:hyperlink>
    </w:p>
    <w:p w14:paraId="15F283AE"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894" w:history="1">
        <w:r w:rsidRPr="00532632">
          <w:rPr>
            <w:rStyle w:val="Hypertextovodkaz"/>
            <w:rFonts w:eastAsiaTheme="majorEastAsia"/>
            <w:noProof/>
          </w:rPr>
          <w:t>1.3.1.1</w:t>
        </w:r>
        <w:r>
          <w:rPr>
            <w:rFonts w:asciiTheme="minorHAnsi" w:eastAsiaTheme="minorEastAsia" w:hAnsiTheme="minorHAnsi" w:cstheme="minorBidi"/>
            <w:noProof/>
            <w:szCs w:val="22"/>
          </w:rPr>
          <w:tab/>
        </w:r>
        <w:r w:rsidRPr="00532632">
          <w:rPr>
            <w:rStyle w:val="Hypertextovodkaz"/>
            <w:rFonts w:eastAsiaTheme="majorEastAsia"/>
            <w:noProof/>
          </w:rPr>
          <w:t>Národní a nadnárodní úroveň</w:t>
        </w:r>
        <w:r>
          <w:rPr>
            <w:noProof/>
            <w:webHidden/>
          </w:rPr>
          <w:tab/>
        </w:r>
        <w:r>
          <w:rPr>
            <w:noProof/>
            <w:webHidden/>
          </w:rPr>
          <w:fldChar w:fldCharType="begin"/>
        </w:r>
        <w:r>
          <w:rPr>
            <w:noProof/>
            <w:webHidden/>
          </w:rPr>
          <w:instrText xml:space="preserve"> PAGEREF _Toc34295894 \h </w:instrText>
        </w:r>
        <w:r>
          <w:rPr>
            <w:noProof/>
            <w:webHidden/>
          </w:rPr>
        </w:r>
        <w:r>
          <w:rPr>
            <w:noProof/>
            <w:webHidden/>
          </w:rPr>
          <w:fldChar w:fldCharType="separate"/>
        </w:r>
        <w:r>
          <w:rPr>
            <w:noProof/>
            <w:webHidden/>
          </w:rPr>
          <w:t>12</w:t>
        </w:r>
        <w:r>
          <w:rPr>
            <w:noProof/>
            <w:webHidden/>
          </w:rPr>
          <w:fldChar w:fldCharType="end"/>
        </w:r>
      </w:hyperlink>
    </w:p>
    <w:p w14:paraId="13B2779D"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95" w:history="1">
        <w:r w:rsidRPr="00532632">
          <w:rPr>
            <w:rStyle w:val="Hypertextovodkaz"/>
            <w:rFonts w:eastAsiaTheme="majorEastAsia"/>
            <w:noProof/>
          </w:rPr>
          <w:t>1.3.2.</w:t>
        </w:r>
        <w:r>
          <w:rPr>
            <w:rFonts w:asciiTheme="minorHAnsi" w:eastAsiaTheme="minorEastAsia" w:hAnsiTheme="minorHAnsi" w:cstheme="minorBidi"/>
            <w:noProof/>
            <w:szCs w:val="22"/>
          </w:rPr>
          <w:tab/>
        </w:r>
        <w:r w:rsidRPr="00532632">
          <w:rPr>
            <w:rStyle w:val="Hypertextovodkaz"/>
            <w:rFonts w:eastAsiaTheme="majorEastAsia"/>
            <w:noProof/>
          </w:rPr>
          <w:t>Výzkum a vývoj v oblasti čisté mobility do budoucna – možnosti a mechanismy</w:t>
        </w:r>
        <w:r>
          <w:rPr>
            <w:noProof/>
            <w:webHidden/>
          </w:rPr>
          <w:tab/>
        </w:r>
        <w:r>
          <w:rPr>
            <w:noProof/>
            <w:webHidden/>
          </w:rPr>
          <w:fldChar w:fldCharType="begin"/>
        </w:r>
        <w:r>
          <w:rPr>
            <w:noProof/>
            <w:webHidden/>
          </w:rPr>
          <w:instrText xml:space="preserve"> PAGEREF _Toc34295895 \h </w:instrText>
        </w:r>
        <w:r>
          <w:rPr>
            <w:noProof/>
            <w:webHidden/>
          </w:rPr>
        </w:r>
        <w:r>
          <w:rPr>
            <w:noProof/>
            <w:webHidden/>
          </w:rPr>
          <w:fldChar w:fldCharType="separate"/>
        </w:r>
        <w:r>
          <w:rPr>
            <w:noProof/>
            <w:webHidden/>
          </w:rPr>
          <w:t>13</w:t>
        </w:r>
        <w:r>
          <w:rPr>
            <w:noProof/>
            <w:webHidden/>
          </w:rPr>
          <w:fldChar w:fldCharType="end"/>
        </w:r>
      </w:hyperlink>
    </w:p>
    <w:p w14:paraId="40A38DDD"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896" w:history="1">
        <w:r w:rsidRPr="00532632">
          <w:rPr>
            <w:rStyle w:val="Hypertextovodkaz"/>
            <w:rFonts w:eastAsiaTheme="majorEastAsia"/>
            <w:noProof/>
          </w:rPr>
          <w:t>1.3.2.1</w:t>
        </w:r>
        <w:r>
          <w:rPr>
            <w:rFonts w:asciiTheme="minorHAnsi" w:eastAsiaTheme="minorEastAsia" w:hAnsiTheme="minorHAnsi" w:cstheme="minorBidi"/>
            <w:noProof/>
            <w:szCs w:val="22"/>
          </w:rPr>
          <w:tab/>
        </w:r>
        <w:r w:rsidRPr="00532632">
          <w:rPr>
            <w:rStyle w:val="Hypertextovodkaz"/>
            <w:rFonts w:eastAsiaTheme="majorEastAsia"/>
            <w:noProof/>
          </w:rPr>
          <w:t>Národní úroveň</w:t>
        </w:r>
        <w:r>
          <w:rPr>
            <w:noProof/>
            <w:webHidden/>
          </w:rPr>
          <w:tab/>
        </w:r>
        <w:r>
          <w:rPr>
            <w:noProof/>
            <w:webHidden/>
          </w:rPr>
          <w:fldChar w:fldCharType="begin"/>
        </w:r>
        <w:r>
          <w:rPr>
            <w:noProof/>
            <w:webHidden/>
          </w:rPr>
          <w:instrText xml:space="preserve"> PAGEREF _Toc34295896 \h </w:instrText>
        </w:r>
        <w:r>
          <w:rPr>
            <w:noProof/>
            <w:webHidden/>
          </w:rPr>
        </w:r>
        <w:r>
          <w:rPr>
            <w:noProof/>
            <w:webHidden/>
          </w:rPr>
          <w:fldChar w:fldCharType="separate"/>
        </w:r>
        <w:r>
          <w:rPr>
            <w:noProof/>
            <w:webHidden/>
          </w:rPr>
          <w:t>13</w:t>
        </w:r>
        <w:r>
          <w:rPr>
            <w:noProof/>
            <w:webHidden/>
          </w:rPr>
          <w:fldChar w:fldCharType="end"/>
        </w:r>
      </w:hyperlink>
    </w:p>
    <w:p w14:paraId="5D862A3B"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897" w:history="1">
        <w:r w:rsidRPr="00532632">
          <w:rPr>
            <w:rStyle w:val="Hypertextovodkaz"/>
            <w:rFonts w:eastAsiaTheme="majorEastAsia"/>
            <w:noProof/>
          </w:rPr>
          <w:t>1.3.2.2</w:t>
        </w:r>
        <w:r>
          <w:rPr>
            <w:rFonts w:asciiTheme="minorHAnsi" w:eastAsiaTheme="minorEastAsia" w:hAnsiTheme="minorHAnsi" w:cstheme="minorBidi"/>
            <w:noProof/>
            <w:szCs w:val="22"/>
          </w:rPr>
          <w:tab/>
        </w:r>
        <w:r w:rsidRPr="00532632">
          <w:rPr>
            <w:rStyle w:val="Hypertextovodkaz"/>
            <w:rFonts w:eastAsiaTheme="majorEastAsia"/>
            <w:noProof/>
          </w:rPr>
          <w:t>Evropská úroveň</w:t>
        </w:r>
        <w:r>
          <w:rPr>
            <w:noProof/>
            <w:webHidden/>
          </w:rPr>
          <w:tab/>
        </w:r>
        <w:r>
          <w:rPr>
            <w:noProof/>
            <w:webHidden/>
          </w:rPr>
          <w:fldChar w:fldCharType="begin"/>
        </w:r>
        <w:r>
          <w:rPr>
            <w:noProof/>
            <w:webHidden/>
          </w:rPr>
          <w:instrText xml:space="preserve"> PAGEREF _Toc34295897 \h </w:instrText>
        </w:r>
        <w:r>
          <w:rPr>
            <w:noProof/>
            <w:webHidden/>
          </w:rPr>
        </w:r>
        <w:r>
          <w:rPr>
            <w:noProof/>
            <w:webHidden/>
          </w:rPr>
          <w:fldChar w:fldCharType="separate"/>
        </w:r>
        <w:r>
          <w:rPr>
            <w:noProof/>
            <w:webHidden/>
          </w:rPr>
          <w:t>14</w:t>
        </w:r>
        <w:r>
          <w:rPr>
            <w:noProof/>
            <w:webHidden/>
          </w:rPr>
          <w:fldChar w:fldCharType="end"/>
        </w:r>
      </w:hyperlink>
    </w:p>
    <w:p w14:paraId="7F0EF631"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898" w:history="1">
        <w:r w:rsidRPr="00532632">
          <w:rPr>
            <w:rStyle w:val="Hypertextovodkaz"/>
            <w:rFonts w:eastAsiaTheme="majorEastAsia"/>
            <w:noProof/>
          </w:rPr>
          <w:t>1.3.3.</w:t>
        </w:r>
        <w:r>
          <w:rPr>
            <w:rFonts w:asciiTheme="minorHAnsi" w:eastAsiaTheme="minorEastAsia" w:hAnsiTheme="minorHAnsi" w:cstheme="minorBidi"/>
            <w:noProof/>
            <w:szCs w:val="22"/>
          </w:rPr>
          <w:tab/>
        </w:r>
        <w:r w:rsidRPr="00532632">
          <w:rPr>
            <w:rStyle w:val="Hypertextovodkaz"/>
            <w:rFonts w:eastAsiaTheme="majorEastAsia"/>
            <w:noProof/>
          </w:rPr>
          <w:t>Prioritní oblasti pro výzkum a vývoj v čisté mobilitě</w:t>
        </w:r>
        <w:r>
          <w:rPr>
            <w:noProof/>
            <w:webHidden/>
          </w:rPr>
          <w:tab/>
        </w:r>
        <w:r>
          <w:rPr>
            <w:noProof/>
            <w:webHidden/>
          </w:rPr>
          <w:fldChar w:fldCharType="begin"/>
        </w:r>
        <w:r>
          <w:rPr>
            <w:noProof/>
            <w:webHidden/>
          </w:rPr>
          <w:instrText xml:space="preserve"> PAGEREF _Toc34295898 \h </w:instrText>
        </w:r>
        <w:r>
          <w:rPr>
            <w:noProof/>
            <w:webHidden/>
          </w:rPr>
        </w:r>
        <w:r>
          <w:rPr>
            <w:noProof/>
            <w:webHidden/>
          </w:rPr>
          <w:fldChar w:fldCharType="separate"/>
        </w:r>
        <w:r>
          <w:rPr>
            <w:noProof/>
            <w:webHidden/>
          </w:rPr>
          <w:t>14</w:t>
        </w:r>
        <w:r>
          <w:rPr>
            <w:noProof/>
            <w:webHidden/>
          </w:rPr>
          <w:fldChar w:fldCharType="end"/>
        </w:r>
      </w:hyperlink>
    </w:p>
    <w:p w14:paraId="7C07B10E"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899" w:history="1">
        <w:r w:rsidRPr="00532632">
          <w:rPr>
            <w:rStyle w:val="Hypertextovodkaz"/>
            <w:rFonts w:eastAsiaTheme="majorEastAsia"/>
            <w:noProof/>
          </w:rPr>
          <w:t>1.3.3.1</w:t>
        </w:r>
        <w:r>
          <w:rPr>
            <w:rFonts w:asciiTheme="minorHAnsi" w:eastAsiaTheme="minorEastAsia" w:hAnsiTheme="minorHAnsi" w:cstheme="minorBidi"/>
            <w:noProof/>
            <w:szCs w:val="22"/>
          </w:rPr>
          <w:tab/>
        </w:r>
        <w:r w:rsidRPr="00532632">
          <w:rPr>
            <w:rStyle w:val="Hypertextovodkaz"/>
            <w:rFonts w:eastAsiaTheme="majorEastAsia"/>
            <w:noProof/>
          </w:rPr>
          <w:t>Prioritní výzkumně-vývojové oblasti – metan a vyšší uhlovodíky z obnovitelných zdrojů</w:t>
        </w:r>
        <w:r>
          <w:rPr>
            <w:noProof/>
            <w:webHidden/>
          </w:rPr>
          <w:tab/>
        </w:r>
        <w:r>
          <w:rPr>
            <w:noProof/>
            <w:webHidden/>
          </w:rPr>
          <w:fldChar w:fldCharType="begin"/>
        </w:r>
        <w:r>
          <w:rPr>
            <w:noProof/>
            <w:webHidden/>
          </w:rPr>
          <w:instrText xml:space="preserve"> PAGEREF _Toc34295899 \h </w:instrText>
        </w:r>
        <w:r>
          <w:rPr>
            <w:noProof/>
            <w:webHidden/>
          </w:rPr>
        </w:r>
        <w:r>
          <w:rPr>
            <w:noProof/>
            <w:webHidden/>
          </w:rPr>
          <w:fldChar w:fldCharType="separate"/>
        </w:r>
        <w:r>
          <w:rPr>
            <w:noProof/>
            <w:webHidden/>
          </w:rPr>
          <w:t>14</w:t>
        </w:r>
        <w:r>
          <w:rPr>
            <w:noProof/>
            <w:webHidden/>
          </w:rPr>
          <w:fldChar w:fldCharType="end"/>
        </w:r>
      </w:hyperlink>
    </w:p>
    <w:p w14:paraId="4E205EA5"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00" w:history="1">
        <w:r w:rsidRPr="00532632">
          <w:rPr>
            <w:rStyle w:val="Hypertextovodkaz"/>
            <w:rFonts w:eastAsiaTheme="majorEastAsia"/>
            <w:noProof/>
          </w:rPr>
          <w:t>1.3.3.2</w:t>
        </w:r>
        <w:r>
          <w:rPr>
            <w:rFonts w:asciiTheme="minorHAnsi" w:eastAsiaTheme="minorEastAsia" w:hAnsiTheme="minorHAnsi" w:cstheme="minorBidi"/>
            <w:noProof/>
            <w:szCs w:val="22"/>
          </w:rPr>
          <w:tab/>
        </w:r>
        <w:r w:rsidRPr="00532632">
          <w:rPr>
            <w:rStyle w:val="Hypertextovodkaz"/>
            <w:rFonts w:eastAsiaTheme="majorEastAsia"/>
            <w:noProof/>
          </w:rPr>
          <w:t>Bateriová elektromobilita v kombinaci s dalšími zdroji energie (spalovací motory nebo závislá trakce)</w:t>
        </w:r>
        <w:r>
          <w:rPr>
            <w:noProof/>
            <w:webHidden/>
          </w:rPr>
          <w:tab/>
        </w:r>
        <w:r>
          <w:rPr>
            <w:noProof/>
            <w:webHidden/>
          </w:rPr>
          <w:fldChar w:fldCharType="begin"/>
        </w:r>
        <w:r>
          <w:rPr>
            <w:noProof/>
            <w:webHidden/>
          </w:rPr>
          <w:instrText xml:space="preserve"> PAGEREF _Toc34295900 \h </w:instrText>
        </w:r>
        <w:r>
          <w:rPr>
            <w:noProof/>
            <w:webHidden/>
          </w:rPr>
        </w:r>
        <w:r>
          <w:rPr>
            <w:noProof/>
            <w:webHidden/>
          </w:rPr>
          <w:fldChar w:fldCharType="separate"/>
        </w:r>
        <w:r>
          <w:rPr>
            <w:noProof/>
            <w:webHidden/>
          </w:rPr>
          <w:t>15</w:t>
        </w:r>
        <w:r>
          <w:rPr>
            <w:noProof/>
            <w:webHidden/>
          </w:rPr>
          <w:fldChar w:fldCharType="end"/>
        </w:r>
      </w:hyperlink>
    </w:p>
    <w:p w14:paraId="4ADBC3D2"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01" w:history="1">
        <w:r w:rsidRPr="00532632">
          <w:rPr>
            <w:rStyle w:val="Hypertextovodkaz"/>
            <w:rFonts w:eastAsiaTheme="majorEastAsia"/>
            <w:noProof/>
          </w:rPr>
          <w:t>1.3.3.3</w:t>
        </w:r>
        <w:r>
          <w:rPr>
            <w:rFonts w:asciiTheme="minorHAnsi" w:eastAsiaTheme="minorEastAsia" w:hAnsiTheme="minorHAnsi" w:cstheme="minorBidi"/>
            <w:noProof/>
            <w:szCs w:val="22"/>
          </w:rPr>
          <w:tab/>
        </w:r>
        <w:r w:rsidRPr="00532632">
          <w:rPr>
            <w:rStyle w:val="Hypertextovodkaz"/>
            <w:rFonts w:eastAsiaTheme="majorEastAsia"/>
            <w:noProof/>
          </w:rPr>
          <w:t>Mobilita na bázi vodíku a elektromobilita s palivovými články</w:t>
        </w:r>
        <w:r>
          <w:rPr>
            <w:noProof/>
            <w:webHidden/>
          </w:rPr>
          <w:tab/>
        </w:r>
        <w:r>
          <w:rPr>
            <w:noProof/>
            <w:webHidden/>
          </w:rPr>
          <w:fldChar w:fldCharType="begin"/>
        </w:r>
        <w:r>
          <w:rPr>
            <w:noProof/>
            <w:webHidden/>
          </w:rPr>
          <w:instrText xml:space="preserve"> PAGEREF _Toc34295901 \h </w:instrText>
        </w:r>
        <w:r>
          <w:rPr>
            <w:noProof/>
            <w:webHidden/>
          </w:rPr>
        </w:r>
        <w:r>
          <w:rPr>
            <w:noProof/>
            <w:webHidden/>
          </w:rPr>
          <w:fldChar w:fldCharType="separate"/>
        </w:r>
        <w:r>
          <w:rPr>
            <w:noProof/>
            <w:webHidden/>
          </w:rPr>
          <w:t>15</w:t>
        </w:r>
        <w:r>
          <w:rPr>
            <w:noProof/>
            <w:webHidden/>
          </w:rPr>
          <w:fldChar w:fldCharType="end"/>
        </w:r>
      </w:hyperlink>
    </w:p>
    <w:p w14:paraId="6BF42DFF"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02" w:history="1">
        <w:r w:rsidRPr="00532632">
          <w:rPr>
            <w:rStyle w:val="Hypertextovodkaz"/>
            <w:rFonts w:eastAsiaTheme="majorEastAsia"/>
            <w:noProof/>
          </w:rPr>
          <w:t>1.3.3.4</w:t>
        </w:r>
        <w:r>
          <w:rPr>
            <w:rFonts w:asciiTheme="minorHAnsi" w:eastAsiaTheme="minorEastAsia" w:hAnsiTheme="minorHAnsi" w:cstheme="minorBidi"/>
            <w:noProof/>
            <w:szCs w:val="22"/>
          </w:rPr>
          <w:tab/>
        </w:r>
        <w:r w:rsidRPr="00532632">
          <w:rPr>
            <w:rStyle w:val="Hypertextovodkaz"/>
            <w:rFonts w:eastAsiaTheme="majorEastAsia"/>
            <w:noProof/>
          </w:rPr>
          <w:t>Průřezová témata</w:t>
        </w:r>
        <w:r>
          <w:rPr>
            <w:noProof/>
            <w:webHidden/>
          </w:rPr>
          <w:tab/>
        </w:r>
        <w:r>
          <w:rPr>
            <w:noProof/>
            <w:webHidden/>
          </w:rPr>
          <w:fldChar w:fldCharType="begin"/>
        </w:r>
        <w:r>
          <w:rPr>
            <w:noProof/>
            <w:webHidden/>
          </w:rPr>
          <w:instrText xml:space="preserve"> PAGEREF _Toc34295902 \h </w:instrText>
        </w:r>
        <w:r>
          <w:rPr>
            <w:noProof/>
            <w:webHidden/>
          </w:rPr>
        </w:r>
        <w:r>
          <w:rPr>
            <w:noProof/>
            <w:webHidden/>
          </w:rPr>
          <w:fldChar w:fldCharType="separate"/>
        </w:r>
        <w:r>
          <w:rPr>
            <w:noProof/>
            <w:webHidden/>
          </w:rPr>
          <w:t>15</w:t>
        </w:r>
        <w:r>
          <w:rPr>
            <w:noProof/>
            <w:webHidden/>
          </w:rPr>
          <w:fldChar w:fldCharType="end"/>
        </w:r>
      </w:hyperlink>
    </w:p>
    <w:p w14:paraId="11958042"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03" w:history="1">
        <w:r w:rsidRPr="00532632">
          <w:rPr>
            <w:rStyle w:val="Hypertextovodkaz"/>
            <w:rFonts w:eastAsiaTheme="majorEastAsia"/>
            <w:noProof/>
          </w:rPr>
          <w:t>1.3.4.</w:t>
        </w:r>
        <w:r>
          <w:rPr>
            <w:rFonts w:asciiTheme="minorHAnsi" w:eastAsiaTheme="minorEastAsia" w:hAnsiTheme="minorHAnsi" w:cstheme="minorBidi"/>
            <w:noProof/>
            <w:szCs w:val="22"/>
          </w:rPr>
          <w:tab/>
        </w:r>
        <w:r w:rsidRPr="00532632">
          <w:rPr>
            <w:rStyle w:val="Hypertextovodkaz"/>
            <w:rFonts w:eastAsiaTheme="majorEastAsia"/>
            <w:noProof/>
          </w:rPr>
          <w:t>Vzdělávání</w:t>
        </w:r>
        <w:r>
          <w:rPr>
            <w:noProof/>
            <w:webHidden/>
          </w:rPr>
          <w:tab/>
        </w:r>
        <w:r>
          <w:rPr>
            <w:noProof/>
            <w:webHidden/>
          </w:rPr>
          <w:fldChar w:fldCharType="begin"/>
        </w:r>
        <w:r>
          <w:rPr>
            <w:noProof/>
            <w:webHidden/>
          </w:rPr>
          <w:instrText xml:space="preserve"> PAGEREF _Toc34295903 \h </w:instrText>
        </w:r>
        <w:r>
          <w:rPr>
            <w:noProof/>
            <w:webHidden/>
          </w:rPr>
        </w:r>
        <w:r>
          <w:rPr>
            <w:noProof/>
            <w:webHidden/>
          </w:rPr>
          <w:fldChar w:fldCharType="separate"/>
        </w:r>
        <w:r>
          <w:rPr>
            <w:noProof/>
            <w:webHidden/>
          </w:rPr>
          <w:t>16</w:t>
        </w:r>
        <w:r>
          <w:rPr>
            <w:noProof/>
            <w:webHidden/>
          </w:rPr>
          <w:fldChar w:fldCharType="end"/>
        </w:r>
      </w:hyperlink>
    </w:p>
    <w:p w14:paraId="2F6617C1"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04" w:history="1">
        <w:r w:rsidRPr="00532632">
          <w:rPr>
            <w:rStyle w:val="Hypertextovodkaz"/>
            <w:rFonts w:eastAsiaTheme="majorEastAsia"/>
            <w:noProof/>
          </w:rPr>
          <w:t>1.4</w:t>
        </w:r>
        <w:r>
          <w:rPr>
            <w:rFonts w:asciiTheme="minorHAnsi" w:eastAsiaTheme="minorEastAsia" w:hAnsiTheme="minorHAnsi" w:cstheme="minorBidi"/>
            <w:b w:val="0"/>
            <w:noProof/>
            <w:sz w:val="22"/>
            <w:szCs w:val="22"/>
          </w:rPr>
          <w:tab/>
        </w:r>
        <w:r w:rsidRPr="00532632">
          <w:rPr>
            <w:rStyle w:val="Hypertextovodkaz"/>
            <w:rFonts w:eastAsiaTheme="majorEastAsia"/>
            <w:noProof/>
          </w:rPr>
          <w:t>Financování čisté mobility (vyhodnocení běžících programů)</w:t>
        </w:r>
        <w:r>
          <w:rPr>
            <w:noProof/>
            <w:webHidden/>
          </w:rPr>
          <w:tab/>
        </w:r>
        <w:r>
          <w:rPr>
            <w:noProof/>
            <w:webHidden/>
          </w:rPr>
          <w:fldChar w:fldCharType="begin"/>
        </w:r>
        <w:r>
          <w:rPr>
            <w:noProof/>
            <w:webHidden/>
          </w:rPr>
          <w:instrText xml:space="preserve"> PAGEREF _Toc34295904 \h </w:instrText>
        </w:r>
        <w:r>
          <w:rPr>
            <w:noProof/>
            <w:webHidden/>
          </w:rPr>
        </w:r>
        <w:r>
          <w:rPr>
            <w:noProof/>
            <w:webHidden/>
          </w:rPr>
          <w:fldChar w:fldCharType="separate"/>
        </w:r>
        <w:r>
          <w:rPr>
            <w:noProof/>
            <w:webHidden/>
          </w:rPr>
          <w:t>16</w:t>
        </w:r>
        <w:r>
          <w:rPr>
            <w:noProof/>
            <w:webHidden/>
          </w:rPr>
          <w:fldChar w:fldCharType="end"/>
        </w:r>
      </w:hyperlink>
    </w:p>
    <w:p w14:paraId="7AAA0E4B"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05" w:history="1">
        <w:r w:rsidRPr="00532632">
          <w:rPr>
            <w:rStyle w:val="Hypertextovodkaz"/>
            <w:rFonts w:eastAsiaTheme="majorEastAsia"/>
            <w:noProof/>
          </w:rPr>
          <w:t>1.4.1.</w:t>
        </w:r>
        <w:r>
          <w:rPr>
            <w:rFonts w:asciiTheme="minorHAnsi" w:eastAsiaTheme="minorEastAsia" w:hAnsiTheme="minorHAnsi" w:cstheme="minorBidi"/>
            <w:noProof/>
            <w:szCs w:val="22"/>
          </w:rPr>
          <w:tab/>
        </w:r>
        <w:r w:rsidRPr="00532632">
          <w:rPr>
            <w:rStyle w:val="Hypertextovodkaz"/>
            <w:rFonts w:eastAsiaTheme="majorEastAsia"/>
            <w:noProof/>
          </w:rPr>
          <w:t>Přehled současných dotačních programů na podporu čisté mobility</w:t>
        </w:r>
        <w:r>
          <w:rPr>
            <w:noProof/>
            <w:webHidden/>
          </w:rPr>
          <w:tab/>
        </w:r>
        <w:r>
          <w:rPr>
            <w:noProof/>
            <w:webHidden/>
          </w:rPr>
          <w:fldChar w:fldCharType="begin"/>
        </w:r>
        <w:r>
          <w:rPr>
            <w:noProof/>
            <w:webHidden/>
          </w:rPr>
          <w:instrText xml:space="preserve"> PAGEREF _Toc34295905 \h </w:instrText>
        </w:r>
        <w:r>
          <w:rPr>
            <w:noProof/>
            <w:webHidden/>
          </w:rPr>
        </w:r>
        <w:r>
          <w:rPr>
            <w:noProof/>
            <w:webHidden/>
          </w:rPr>
          <w:fldChar w:fldCharType="separate"/>
        </w:r>
        <w:r>
          <w:rPr>
            <w:noProof/>
            <w:webHidden/>
          </w:rPr>
          <w:t>16</w:t>
        </w:r>
        <w:r>
          <w:rPr>
            <w:noProof/>
            <w:webHidden/>
          </w:rPr>
          <w:fldChar w:fldCharType="end"/>
        </w:r>
      </w:hyperlink>
    </w:p>
    <w:p w14:paraId="68F34283"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06" w:history="1">
        <w:r w:rsidRPr="00532632">
          <w:rPr>
            <w:rStyle w:val="Hypertextovodkaz"/>
            <w:rFonts w:eastAsiaTheme="majorEastAsia"/>
            <w:noProof/>
          </w:rPr>
          <w:t>1.4.2.</w:t>
        </w:r>
        <w:r>
          <w:rPr>
            <w:rFonts w:asciiTheme="minorHAnsi" w:eastAsiaTheme="minorEastAsia" w:hAnsiTheme="minorHAnsi" w:cstheme="minorBidi"/>
            <w:noProof/>
            <w:szCs w:val="22"/>
          </w:rPr>
          <w:tab/>
        </w:r>
        <w:r w:rsidRPr="00532632">
          <w:rPr>
            <w:rStyle w:val="Hypertextovodkaz"/>
            <w:rFonts w:eastAsiaTheme="majorEastAsia"/>
            <w:noProof/>
          </w:rPr>
          <w:t>Očekávaná podpora v programovém období 2021-2027</w:t>
        </w:r>
        <w:r>
          <w:rPr>
            <w:noProof/>
            <w:webHidden/>
          </w:rPr>
          <w:tab/>
        </w:r>
        <w:r>
          <w:rPr>
            <w:noProof/>
            <w:webHidden/>
          </w:rPr>
          <w:fldChar w:fldCharType="begin"/>
        </w:r>
        <w:r>
          <w:rPr>
            <w:noProof/>
            <w:webHidden/>
          </w:rPr>
          <w:instrText xml:space="preserve"> PAGEREF _Toc34295906 \h </w:instrText>
        </w:r>
        <w:r>
          <w:rPr>
            <w:noProof/>
            <w:webHidden/>
          </w:rPr>
        </w:r>
        <w:r>
          <w:rPr>
            <w:noProof/>
            <w:webHidden/>
          </w:rPr>
          <w:fldChar w:fldCharType="separate"/>
        </w:r>
        <w:r>
          <w:rPr>
            <w:noProof/>
            <w:webHidden/>
          </w:rPr>
          <w:t>17</w:t>
        </w:r>
        <w:r>
          <w:rPr>
            <w:noProof/>
            <w:webHidden/>
          </w:rPr>
          <w:fldChar w:fldCharType="end"/>
        </w:r>
      </w:hyperlink>
    </w:p>
    <w:p w14:paraId="574B91C0" w14:textId="77777777" w:rsidR="00276F69" w:rsidRDefault="00276F69">
      <w:pPr>
        <w:pStyle w:val="Obsah1"/>
        <w:rPr>
          <w:rFonts w:asciiTheme="minorHAnsi" w:eastAsiaTheme="minorEastAsia" w:hAnsiTheme="minorHAnsi" w:cstheme="minorBidi"/>
          <w:b w:val="0"/>
          <w:sz w:val="22"/>
          <w:szCs w:val="22"/>
        </w:rPr>
      </w:pPr>
      <w:hyperlink w:anchor="_Toc34295907" w:history="1">
        <w:r w:rsidRPr="00532632">
          <w:rPr>
            <w:rStyle w:val="Hypertextovodkaz"/>
          </w:rPr>
          <w:t>2.</w:t>
        </w:r>
        <w:r>
          <w:rPr>
            <w:rFonts w:asciiTheme="minorHAnsi" w:eastAsiaTheme="minorEastAsia" w:hAnsiTheme="minorHAnsi" w:cstheme="minorBidi"/>
            <w:b w:val="0"/>
            <w:sz w:val="22"/>
            <w:szCs w:val="22"/>
          </w:rPr>
          <w:tab/>
        </w:r>
        <w:r w:rsidRPr="00532632">
          <w:rPr>
            <w:rStyle w:val="Hypertextovodkaz"/>
          </w:rPr>
          <w:t>Analytický materiál - elektromobilita v rámci NAP CM</w:t>
        </w:r>
        <w:r>
          <w:rPr>
            <w:webHidden/>
          </w:rPr>
          <w:tab/>
        </w:r>
        <w:r>
          <w:rPr>
            <w:webHidden/>
          </w:rPr>
          <w:fldChar w:fldCharType="begin"/>
        </w:r>
        <w:r>
          <w:rPr>
            <w:webHidden/>
          </w:rPr>
          <w:instrText xml:space="preserve"> PAGEREF _Toc34295907 \h </w:instrText>
        </w:r>
        <w:r>
          <w:rPr>
            <w:webHidden/>
          </w:rPr>
        </w:r>
        <w:r>
          <w:rPr>
            <w:webHidden/>
          </w:rPr>
          <w:fldChar w:fldCharType="separate"/>
        </w:r>
        <w:r>
          <w:rPr>
            <w:webHidden/>
          </w:rPr>
          <w:t>18</w:t>
        </w:r>
        <w:r>
          <w:rPr>
            <w:webHidden/>
          </w:rPr>
          <w:fldChar w:fldCharType="end"/>
        </w:r>
      </w:hyperlink>
    </w:p>
    <w:p w14:paraId="09235DC0"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08" w:history="1">
        <w:r w:rsidRPr="00532632">
          <w:rPr>
            <w:rStyle w:val="Hypertextovodkaz"/>
            <w:rFonts w:eastAsiaTheme="majorEastAsia"/>
            <w:noProof/>
          </w:rPr>
          <w:t>2.1</w:t>
        </w:r>
        <w:r>
          <w:rPr>
            <w:rFonts w:asciiTheme="minorHAnsi" w:eastAsiaTheme="minorEastAsia" w:hAnsiTheme="minorHAnsi" w:cstheme="minorBidi"/>
            <w:b w:val="0"/>
            <w:noProof/>
            <w:sz w:val="22"/>
            <w:szCs w:val="22"/>
          </w:rPr>
          <w:tab/>
        </w:r>
        <w:r w:rsidRPr="00532632">
          <w:rPr>
            <w:rStyle w:val="Hypertextovodkaz"/>
            <w:rFonts w:eastAsiaTheme="majorEastAsia"/>
            <w:noProof/>
          </w:rPr>
          <w:t>Vyhodnocení aktuálního stavu elektromobility v ČR a očekávaný budoucí vývoj</w:t>
        </w:r>
        <w:r>
          <w:rPr>
            <w:noProof/>
            <w:webHidden/>
          </w:rPr>
          <w:tab/>
        </w:r>
        <w:r>
          <w:rPr>
            <w:noProof/>
            <w:webHidden/>
          </w:rPr>
          <w:fldChar w:fldCharType="begin"/>
        </w:r>
        <w:r>
          <w:rPr>
            <w:noProof/>
            <w:webHidden/>
          </w:rPr>
          <w:instrText xml:space="preserve"> PAGEREF _Toc34295908 \h </w:instrText>
        </w:r>
        <w:r>
          <w:rPr>
            <w:noProof/>
            <w:webHidden/>
          </w:rPr>
        </w:r>
        <w:r>
          <w:rPr>
            <w:noProof/>
            <w:webHidden/>
          </w:rPr>
          <w:fldChar w:fldCharType="separate"/>
        </w:r>
        <w:r>
          <w:rPr>
            <w:noProof/>
            <w:webHidden/>
          </w:rPr>
          <w:t>18</w:t>
        </w:r>
        <w:r>
          <w:rPr>
            <w:noProof/>
            <w:webHidden/>
          </w:rPr>
          <w:fldChar w:fldCharType="end"/>
        </w:r>
      </w:hyperlink>
    </w:p>
    <w:p w14:paraId="2CD050EA"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09" w:history="1">
        <w:r w:rsidRPr="00532632">
          <w:rPr>
            <w:rStyle w:val="Hypertextovodkaz"/>
            <w:rFonts w:eastAsiaTheme="majorEastAsia"/>
            <w:noProof/>
          </w:rPr>
          <w:t>2.1.1.</w:t>
        </w:r>
        <w:r>
          <w:rPr>
            <w:rFonts w:asciiTheme="minorHAnsi" w:eastAsiaTheme="minorEastAsia" w:hAnsiTheme="minorHAnsi" w:cstheme="minorBidi"/>
            <w:noProof/>
            <w:szCs w:val="22"/>
          </w:rPr>
          <w:tab/>
        </w:r>
        <w:r w:rsidRPr="00532632">
          <w:rPr>
            <w:rStyle w:val="Hypertextovodkaz"/>
            <w:rFonts w:eastAsiaTheme="majorEastAsia"/>
            <w:noProof/>
          </w:rPr>
          <w:t>Definice klíčových pojmů</w:t>
        </w:r>
        <w:r>
          <w:rPr>
            <w:noProof/>
            <w:webHidden/>
          </w:rPr>
          <w:tab/>
        </w:r>
        <w:r>
          <w:rPr>
            <w:noProof/>
            <w:webHidden/>
          </w:rPr>
          <w:fldChar w:fldCharType="begin"/>
        </w:r>
        <w:r>
          <w:rPr>
            <w:noProof/>
            <w:webHidden/>
          </w:rPr>
          <w:instrText xml:space="preserve"> PAGEREF _Toc34295909 \h </w:instrText>
        </w:r>
        <w:r>
          <w:rPr>
            <w:noProof/>
            <w:webHidden/>
          </w:rPr>
        </w:r>
        <w:r>
          <w:rPr>
            <w:noProof/>
            <w:webHidden/>
          </w:rPr>
          <w:fldChar w:fldCharType="separate"/>
        </w:r>
        <w:r>
          <w:rPr>
            <w:noProof/>
            <w:webHidden/>
          </w:rPr>
          <w:t>18</w:t>
        </w:r>
        <w:r>
          <w:rPr>
            <w:noProof/>
            <w:webHidden/>
          </w:rPr>
          <w:fldChar w:fldCharType="end"/>
        </w:r>
      </w:hyperlink>
    </w:p>
    <w:p w14:paraId="4EBCE365"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0" w:history="1">
        <w:r w:rsidRPr="00532632">
          <w:rPr>
            <w:rStyle w:val="Hypertextovodkaz"/>
            <w:rFonts w:eastAsiaTheme="majorEastAsia"/>
            <w:noProof/>
          </w:rPr>
          <w:t>2.1.1.1</w:t>
        </w:r>
        <w:r>
          <w:rPr>
            <w:rFonts w:asciiTheme="minorHAnsi" w:eastAsiaTheme="minorEastAsia" w:hAnsiTheme="minorHAnsi" w:cstheme="minorBidi"/>
            <w:noProof/>
            <w:szCs w:val="22"/>
          </w:rPr>
          <w:tab/>
        </w:r>
        <w:r w:rsidRPr="00532632">
          <w:rPr>
            <w:rStyle w:val="Hypertextovodkaz"/>
            <w:rFonts w:eastAsiaTheme="majorEastAsia"/>
            <w:noProof/>
          </w:rPr>
          <w:t>Typy elektrických vozidel z pohledu pohonu</w:t>
        </w:r>
        <w:r>
          <w:rPr>
            <w:noProof/>
            <w:webHidden/>
          </w:rPr>
          <w:tab/>
        </w:r>
        <w:r>
          <w:rPr>
            <w:noProof/>
            <w:webHidden/>
          </w:rPr>
          <w:fldChar w:fldCharType="begin"/>
        </w:r>
        <w:r>
          <w:rPr>
            <w:noProof/>
            <w:webHidden/>
          </w:rPr>
          <w:instrText xml:space="preserve"> PAGEREF _Toc34295910 \h </w:instrText>
        </w:r>
        <w:r>
          <w:rPr>
            <w:noProof/>
            <w:webHidden/>
          </w:rPr>
        </w:r>
        <w:r>
          <w:rPr>
            <w:noProof/>
            <w:webHidden/>
          </w:rPr>
          <w:fldChar w:fldCharType="separate"/>
        </w:r>
        <w:r>
          <w:rPr>
            <w:noProof/>
            <w:webHidden/>
          </w:rPr>
          <w:t>18</w:t>
        </w:r>
        <w:r>
          <w:rPr>
            <w:noProof/>
            <w:webHidden/>
          </w:rPr>
          <w:fldChar w:fldCharType="end"/>
        </w:r>
      </w:hyperlink>
    </w:p>
    <w:p w14:paraId="3F6C70FC"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11" w:history="1">
        <w:r w:rsidRPr="00532632">
          <w:rPr>
            <w:rStyle w:val="Hypertextovodkaz"/>
            <w:rFonts w:eastAsiaTheme="majorEastAsia"/>
            <w:noProof/>
          </w:rPr>
          <w:t>2.1.2.</w:t>
        </w:r>
        <w:r>
          <w:rPr>
            <w:rFonts w:asciiTheme="minorHAnsi" w:eastAsiaTheme="minorEastAsia" w:hAnsiTheme="minorHAnsi" w:cstheme="minorBidi"/>
            <w:noProof/>
            <w:szCs w:val="22"/>
          </w:rPr>
          <w:tab/>
        </w:r>
        <w:r w:rsidRPr="00532632">
          <w:rPr>
            <w:rStyle w:val="Hypertextovodkaz"/>
            <w:rFonts w:eastAsiaTheme="majorEastAsia"/>
            <w:noProof/>
          </w:rPr>
          <w:t>Vyhodnocení aktuálního stavu elektromobility v ČR a plnění cílů a opatření NAP CM</w:t>
        </w:r>
        <w:r>
          <w:rPr>
            <w:noProof/>
            <w:webHidden/>
          </w:rPr>
          <w:tab/>
        </w:r>
        <w:r>
          <w:rPr>
            <w:noProof/>
            <w:webHidden/>
          </w:rPr>
          <w:fldChar w:fldCharType="begin"/>
        </w:r>
        <w:r>
          <w:rPr>
            <w:noProof/>
            <w:webHidden/>
          </w:rPr>
          <w:instrText xml:space="preserve"> PAGEREF _Toc34295911 \h </w:instrText>
        </w:r>
        <w:r>
          <w:rPr>
            <w:noProof/>
            <w:webHidden/>
          </w:rPr>
        </w:r>
        <w:r>
          <w:rPr>
            <w:noProof/>
            <w:webHidden/>
          </w:rPr>
          <w:fldChar w:fldCharType="separate"/>
        </w:r>
        <w:r>
          <w:rPr>
            <w:noProof/>
            <w:webHidden/>
          </w:rPr>
          <w:t>20</w:t>
        </w:r>
        <w:r>
          <w:rPr>
            <w:noProof/>
            <w:webHidden/>
          </w:rPr>
          <w:fldChar w:fldCharType="end"/>
        </w:r>
      </w:hyperlink>
    </w:p>
    <w:p w14:paraId="3E373E7A"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2" w:history="1">
        <w:r w:rsidRPr="00532632">
          <w:rPr>
            <w:rStyle w:val="Hypertextovodkaz"/>
            <w:rFonts w:eastAsiaTheme="majorEastAsia"/>
            <w:noProof/>
          </w:rPr>
          <w:t>2.1.2.1</w:t>
        </w:r>
        <w:r>
          <w:rPr>
            <w:rFonts w:asciiTheme="minorHAnsi" w:eastAsiaTheme="minorEastAsia" w:hAnsiTheme="minorHAnsi" w:cstheme="minorBidi"/>
            <w:noProof/>
            <w:szCs w:val="22"/>
          </w:rPr>
          <w:tab/>
        </w:r>
        <w:r w:rsidRPr="00532632">
          <w:rPr>
            <w:rStyle w:val="Hypertextovodkaz"/>
            <w:rFonts w:eastAsiaTheme="majorEastAsia"/>
            <w:noProof/>
          </w:rPr>
          <w:t>Vyhodnocení současného vývoje na trhu elektromobility v ČR</w:t>
        </w:r>
        <w:r>
          <w:rPr>
            <w:noProof/>
            <w:webHidden/>
          </w:rPr>
          <w:tab/>
        </w:r>
        <w:r>
          <w:rPr>
            <w:noProof/>
            <w:webHidden/>
          </w:rPr>
          <w:fldChar w:fldCharType="begin"/>
        </w:r>
        <w:r>
          <w:rPr>
            <w:noProof/>
            <w:webHidden/>
          </w:rPr>
          <w:instrText xml:space="preserve"> PAGEREF _Toc34295912 \h </w:instrText>
        </w:r>
        <w:r>
          <w:rPr>
            <w:noProof/>
            <w:webHidden/>
          </w:rPr>
        </w:r>
        <w:r>
          <w:rPr>
            <w:noProof/>
            <w:webHidden/>
          </w:rPr>
          <w:fldChar w:fldCharType="separate"/>
        </w:r>
        <w:r>
          <w:rPr>
            <w:noProof/>
            <w:webHidden/>
          </w:rPr>
          <w:t>20</w:t>
        </w:r>
        <w:r>
          <w:rPr>
            <w:noProof/>
            <w:webHidden/>
          </w:rPr>
          <w:fldChar w:fldCharType="end"/>
        </w:r>
      </w:hyperlink>
    </w:p>
    <w:p w14:paraId="68649A5F"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3" w:history="1">
        <w:r w:rsidRPr="00532632">
          <w:rPr>
            <w:rStyle w:val="Hypertextovodkaz"/>
            <w:rFonts w:eastAsiaTheme="majorEastAsia"/>
            <w:noProof/>
          </w:rPr>
          <w:t>2.1.2.2</w:t>
        </w:r>
        <w:r>
          <w:rPr>
            <w:rFonts w:asciiTheme="minorHAnsi" w:eastAsiaTheme="minorEastAsia" w:hAnsiTheme="minorHAnsi" w:cstheme="minorBidi"/>
            <w:noProof/>
            <w:szCs w:val="22"/>
          </w:rPr>
          <w:tab/>
        </w:r>
        <w:r w:rsidRPr="00532632">
          <w:rPr>
            <w:rStyle w:val="Hypertextovodkaz"/>
            <w:rFonts w:eastAsiaTheme="majorEastAsia"/>
            <w:noProof/>
          </w:rPr>
          <w:t>Stručné vyhodnocení plnění cílů původního NAP CM</w:t>
        </w:r>
        <w:r>
          <w:rPr>
            <w:noProof/>
            <w:webHidden/>
          </w:rPr>
          <w:tab/>
        </w:r>
        <w:r>
          <w:rPr>
            <w:noProof/>
            <w:webHidden/>
          </w:rPr>
          <w:fldChar w:fldCharType="begin"/>
        </w:r>
        <w:r>
          <w:rPr>
            <w:noProof/>
            <w:webHidden/>
          </w:rPr>
          <w:instrText xml:space="preserve"> PAGEREF _Toc34295913 \h </w:instrText>
        </w:r>
        <w:r>
          <w:rPr>
            <w:noProof/>
            <w:webHidden/>
          </w:rPr>
        </w:r>
        <w:r>
          <w:rPr>
            <w:noProof/>
            <w:webHidden/>
          </w:rPr>
          <w:fldChar w:fldCharType="separate"/>
        </w:r>
        <w:r>
          <w:rPr>
            <w:noProof/>
            <w:webHidden/>
          </w:rPr>
          <w:t>22</w:t>
        </w:r>
        <w:r>
          <w:rPr>
            <w:noProof/>
            <w:webHidden/>
          </w:rPr>
          <w:fldChar w:fldCharType="end"/>
        </w:r>
      </w:hyperlink>
    </w:p>
    <w:p w14:paraId="7683165C"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4" w:history="1">
        <w:r w:rsidRPr="00532632">
          <w:rPr>
            <w:rStyle w:val="Hypertextovodkaz"/>
            <w:rFonts w:eastAsiaTheme="majorEastAsia"/>
            <w:noProof/>
          </w:rPr>
          <w:t>2.1.2.3</w:t>
        </w:r>
        <w:r>
          <w:rPr>
            <w:rFonts w:asciiTheme="minorHAnsi" w:eastAsiaTheme="minorEastAsia" w:hAnsiTheme="minorHAnsi" w:cstheme="minorBidi"/>
            <w:noProof/>
            <w:szCs w:val="22"/>
          </w:rPr>
          <w:tab/>
        </w:r>
        <w:r w:rsidRPr="00532632">
          <w:rPr>
            <w:rStyle w:val="Hypertextovodkaz"/>
            <w:rFonts w:eastAsiaTheme="majorEastAsia"/>
            <w:noProof/>
          </w:rPr>
          <w:t>Legislativa</w:t>
        </w:r>
        <w:r>
          <w:rPr>
            <w:noProof/>
            <w:webHidden/>
          </w:rPr>
          <w:tab/>
        </w:r>
        <w:r>
          <w:rPr>
            <w:noProof/>
            <w:webHidden/>
          </w:rPr>
          <w:fldChar w:fldCharType="begin"/>
        </w:r>
        <w:r>
          <w:rPr>
            <w:noProof/>
            <w:webHidden/>
          </w:rPr>
          <w:instrText xml:space="preserve"> PAGEREF _Toc34295914 \h </w:instrText>
        </w:r>
        <w:r>
          <w:rPr>
            <w:noProof/>
            <w:webHidden/>
          </w:rPr>
        </w:r>
        <w:r>
          <w:rPr>
            <w:noProof/>
            <w:webHidden/>
          </w:rPr>
          <w:fldChar w:fldCharType="separate"/>
        </w:r>
        <w:r>
          <w:rPr>
            <w:noProof/>
            <w:webHidden/>
          </w:rPr>
          <w:t>23</w:t>
        </w:r>
        <w:r>
          <w:rPr>
            <w:noProof/>
            <w:webHidden/>
          </w:rPr>
          <w:fldChar w:fldCharType="end"/>
        </w:r>
      </w:hyperlink>
    </w:p>
    <w:p w14:paraId="1DFDBE30"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5" w:history="1">
        <w:r w:rsidRPr="00532632">
          <w:rPr>
            <w:rStyle w:val="Hypertextovodkaz"/>
            <w:rFonts w:eastAsiaTheme="majorEastAsia"/>
            <w:noProof/>
          </w:rPr>
          <w:t>2.1.2.4</w:t>
        </w:r>
        <w:r>
          <w:rPr>
            <w:rFonts w:asciiTheme="minorHAnsi" w:eastAsiaTheme="minorEastAsia" w:hAnsiTheme="minorHAnsi" w:cstheme="minorBidi"/>
            <w:noProof/>
            <w:szCs w:val="22"/>
          </w:rPr>
          <w:tab/>
        </w:r>
        <w:r w:rsidRPr="00532632">
          <w:rPr>
            <w:rStyle w:val="Hypertextovodkaz"/>
            <w:rFonts w:eastAsiaTheme="majorEastAsia"/>
            <w:noProof/>
          </w:rPr>
          <w:t>Podpora elektromobility v jiných členských státech EU</w:t>
        </w:r>
        <w:r>
          <w:rPr>
            <w:noProof/>
            <w:webHidden/>
          </w:rPr>
          <w:tab/>
        </w:r>
        <w:r>
          <w:rPr>
            <w:noProof/>
            <w:webHidden/>
          </w:rPr>
          <w:fldChar w:fldCharType="begin"/>
        </w:r>
        <w:r>
          <w:rPr>
            <w:noProof/>
            <w:webHidden/>
          </w:rPr>
          <w:instrText xml:space="preserve"> PAGEREF _Toc34295915 \h </w:instrText>
        </w:r>
        <w:r>
          <w:rPr>
            <w:noProof/>
            <w:webHidden/>
          </w:rPr>
        </w:r>
        <w:r>
          <w:rPr>
            <w:noProof/>
            <w:webHidden/>
          </w:rPr>
          <w:fldChar w:fldCharType="separate"/>
        </w:r>
        <w:r>
          <w:rPr>
            <w:noProof/>
            <w:webHidden/>
          </w:rPr>
          <w:t>25</w:t>
        </w:r>
        <w:r>
          <w:rPr>
            <w:noProof/>
            <w:webHidden/>
          </w:rPr>
          <w:fldChar w:fldCharType="end"/>
        </w:r>
      </w:hyperlink>
    </w:p>
    <w:p w14:paraId="2A75E72B"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6" w:history="1">
        <w:r w:rsidRPr="00532632">
          <w:rPr>
            <w:rStyle w:val="Hypertextovodkaz"/>
            <w:rFonts w:eastAsiaTheme="majorEastAsia"/>
            <w:noProof/>
          </w:rPr>
          <w:t>2.1.2.5</w:t>
        </w:r>
        <w:r>
          <w:rPr>
            <w:rFonts w:asciiTheme="minorHAnsi" w:eastAsiaTheme="minorEastAsia" w:hAnsiTheme="minorHAnsi" w:cstheme="minorBidi"/>
            <w:noProof/>
            <w:szCs w:val="22"/>
          </w:rPr>
          <w:tab/>
        </w:r>
        <w:r w:rsidRPr="00532632">
          <w:rPr>
            <w:rStyle w:val="Hypertextovodkaz"/>
            <w:rFonts w:eastAsiaTheme="majorEastAsia"/>
            <w:noProof/>
          </w:rPr>
          <w:t>Dobíjení elektromobilů z pohledu tarifní struktury a nákladů na odběr elektřiny</w:t>
        </w:r>
        <w:r>
          <w:rPr>
            <w:noProof/>
            <w:webHidden/>
          </w:rPr>
          <w:tab/>
        </w:r>
        <w:r>
          <w:rPr>
            <w:noProof/>
            <w:webHidden/>
          </w:rPr>
          <w:fldChar w:fldCharType="begin"/>
        </w:r>
        <w:r>
          <w:rPr>
            <w:noProof/>
            <w:webHidden/>
          </w:rPr>
          <w:instrText xml:space="preserve"> PAGEREF _Toc34295916 \h </w:instrText>
        </w:r>
        <w:r>
          <w:rPr>
            <w:noProof/>
            <w:webHidden/>
          </w:rPr>
        </w:r>
        <w:r>
          <w:rPr>
            <w:noProof/>
            <w:webHidden/>
          </w:rPr>
          <w:fldChar w:fldCharType="separate"/>
        </w:r>
        <w:r>
          <w:rPr>
            <w:noProof/>
            <w:webHidden/>
          </w:rPr>
          <w:t>28</w:t>
        </w:r>
        <w:r>
          <w:rPr>
            <w:noProof/>
            <w:webHidden/>
          </w:rPr>
          <w:fldChar w:fldCharType="end"/>
        </w:r>
      </w:hyperlink>
    </w:p>
    <w:p w14:paraId="08322B26"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17" w:history="1">
        <w:r w:rsidRPr="00532632">
          <w:rPr>
            <w:rStyle w:val="Hypertextovodkaz"/>
            <w:rFonts w:eastAsiaTheme="majorEastAsia"/>
            <w:noProof/>
          </w:rPr>
          <w:t>2.1.3.</w:t>
        </w:r>
        <w:r>
          <w:rPr>
            <w:rFonts w:asciiTheme="minorHAnsi" w:eastAsiaTheme="minorEastAsia" w:hAnsiTheme="minorHAnsi" w:cstheme="minorBidi"/>
            <w:noProof/>
            <w:szCs w:val="22"/>
          </w:rPr>
          <w:tab/>
        </w:r>
        <w:r w:rsidRPr="00532632">
          <w:rPr>
            <w:rStyle w:val="Hypertextovodkaz"/>
            <w:rFonts w:eastAsiaTheme="majorEastAsia"/>
            <w:noProof/>
          </w:rPr>
          <w:t>Očekávaný budoucí vývoj</w:t>
        </w:r>
        <w:r>
          <w:rPr>
            <w:noProof/>
            <w:webHidden/>
          </w:rPr>
          <w:tab/>
        </w:r>
        <w:r>
          <w:rPr>
            <w:noProof/>
            <w:webHidden/>
          </w:rPr>
          <w:fldChar w:fldCharType="begin"/>
        </w:r>
        <w:r>
          <w:rPr>
            <w:noProof/>
            <w:webHidden/>
          </w:rPr>
          <w:instrText xml:space="preserve"> PAGEREF _Toc34295917 \h </w:instrText>
        </w:r>
        <w:r>
          <w:rPr>
            <w:noProof/>
            <w:webHidden/>
          </w:rPr>
        </w:r>
        <w:r>
          <w:rPr>
            <w:noProof/>
            <w:webHidden/>
          </w:rPr>
          <w:fldChar w:fldCharType="separate"/>
        </w:r>
        <w:r>
          <w:rPr>
            <w:noProof/>
            <w:webHidden/>
          </w:rPr>
          <w:t>29</w:t>
        </w:r>
        <w:r>
          <w:rPr>
            <w:noProof/>
            <w:webHidden/>
          </w:rPr>
          <w:fldChar w:fldCharType="end"/>
        </w:r>
      </w:hyperlink>
    </w:p>
    <w:p w14:paraId="07AE1212"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8" w:history="1">
        <w:r w:rsidRPr="00532632">
          <w:rPr>
            <w:rStyle w:val="Hypertextovodkaz"/>
            <w:rFonts w:eastAsiaTheme="majorEastAsia"/>
            <w:noProof/>
          </w:rPr>
          <w:t>2.1.3.1</w:t>
        </w:r>
        <w:r>
          <w:rPr>
            <w:rFonts w:asciiTheme="minorHAnsi" w:eastAsiaTheme="minorEastAsia" w:hAnsiTheme="minorHAnsi" w:cstheme="minorBidi"/>
            <w:noProof/>
            <w:szCs w:val="22"/>
          </w:rPr>
          <w:tab/>
        </w:r>
        <w:r w:rsidRPr="00532632">
          <w:rPr>
            <w:rStyle w:val="Hypertextovodkaz"/>
            <w:rFonts w:eastAsiaTheme="majorEastAsia"/>
            <w:noProof/>
          </w:rPr>
          <w:t>Projekce počtu vozidel</w:t>
        </w:r>
        <w:r>
          <w:rPr>
            <w:noProof/>
            <w:webHidden/>
          </w:rPr>
          <w:tab/>
        </w:r>
        <w:r>
          <w:rPr>
            <w:noProof/>
            <w:webHidden/>
          </w:rPr>
          <w:fldChar w:fldCharType="begin"/>
        </w:r>
        <w:r>
          <w:rPr>
            <w:noProof/>
            <w:webHidden/>
          </w:rPr>
          <w:instrText xml:space="preserve"> PAGEREF _Toc34295918 \h </w:instrText>
        </w:r>
        <w:r>
          <w:rPr>
            <w:noProof/>
            <w:webHidden/>
          </w:rPr>
        </w:r>
        <w:r>
          <w:rPr>
            <w:noProof/>
            <w:webHidden/>
          </w:rPr>
          <w:fldChar w:fldCharType="separate"/>
        </w:r>
        <w:r>
          <w:rPr>
            <w:noProof/>
            <w:webHidden/>
          </w:rPr>
          <w:t>29</w:t>
        </w:r>
        <w:r>
          <w:rPr>
            <w:noProof/>
            <w:webHidden/>
          </w:rPr>
          <w:fldChar w:fldCharType="end"/>
        </w:r>
      </w:hyperlink>
    </w:p>
    <w:p w14:paraId="3BF7F808"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19" w:history="1">
        <w:r w:rsidRPr="00532632">
          <w:rPr>
            <w:rStyle w:val="Hypertextovodkaz"/>
            <w:rFonts w:eastAsiaTheme="majorEastAsia"/>
            <w:noProof/>
          </w:rPr>
          <w:t>2.1.3.2</w:t>
        </w:r>
        <w:r>
          <w:rPr>
            <w:rFonts w:asciiTheme="minorHAnsi" w:eastAsiaTheme="minorEastAsia" w:hAnsiTheme="minorHAnsi" w:cstheme="minorBidi"/>
            <w:noProof/>
            <w:szCs w:val="22"/>
          </w:rPr>
          <w:tab/>
        </w:r>
        <w:r w:rsidRPr="00532632">
          <w:rPr>
            <w:rStyle w:val="Hypertextovodkaz"/>
            <w:rFonts w:eastAsiaTheme="majorEastAsia"/>
            <w:noProof/>
          </w:rPr>
          <w:t>Projekce počtu dobíjecích stanic</w:t>
        </w:r>
        <w:r>
          <w:rPr>
            <w:noProof/>
            <w:webHidden/>
          </w:rPr>
          <w:tab/>
        </w:r>
        <w:r>
          <w:rPr>
            <w:noProof/>
            <w:webHidden/>
          </w:rPr>
          <w:fldChar w:fldCharType="begin"/>
        </w:r>
        <w:r>
          <w:rPr>
            <w:noProof/>
            <w:webHidden/>
          </w:rPr>
          <w:instrText xml:space="preserve"> PAGEREF _Toc34295919 \h </w:instrText>
        </w:r>
        <w:r>
          <w:rPr>
            <w:noProof/>
            <w:webHidden/>
          </w:rPr>
        </w:r>
        <w:r>
          <w:rPr>
            <w:noProof/>
            <w:webHidden/>
          </w:rPr>
          <w:fldChar w:fldCharType="separate"/>
        </w:r>
        <w:r>
          <w:rPr>
            <w:noProof/>
            <w:webHidden/>
          </w:rPr>
          <w:t>31</w:t>
        </w:r>
        <w:r>
          <w:rPr>
            <w:noProof/>
            <w:webHidden/>
          </w:rPr>
          <w:fldChar w:fldCharType="end"/>
        </w:r>
      </w:hyperlink>
    </w:p>
    <w:p w14:paraId="32F32D4A"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20" w:history="1">
        <w:r w:rsidRPr="00532632">
          <w:rPr>
            <w:rStyle w:val="Hypertextovodkaz"/>
            <w:rFonts w:eastAsiaTheme="majorEastAsia"/>
            <w:noProof/>
          </w:rPr>
          <w:t>2.1.3.3</w:t>
        </w:r>
        <w:r>
          <w:rPr>
            <w:rFonts w:asciiTheme="minorHAnsi" w:eastAsiaTheme="minorEastAsia" w:hAnsiTheme="minorHAnsi" w:cstheme="minorBidi"/>
            <w:noProof/>
            <w:szCs w:val="22"/>
          </w:rPr>
          <w:tab/>
        </w:r>
        <w:r w:rsidRPr="00532632">
          <w:rPr>
            <w:rStyle w:val="Hypertextovodkaz"/>
            <w:rFonts w:eastAsiaTheme="majorEastAsia"/>
            <w:noProof/>
          </w:rPr>
          <w:t>Předpokládaný model rozvoje dobíjecí infrastruktury</w:t>
        </w:r>
        <w:r>
          <w:rPr>
            <w:noProof/>
            <w:webHidden/>
          </w:rPr>
          <w:tab/>
        </w:r>
        <w:r>
          <w:rPr>
            <w:noProof/>
            <w:webHidden/>
          </w:rPr>
          <w:fldChar w:fldCharType="begin"/>
        </w:r>
        <w:r>
          <w:rPr>
            <w:noProof/>
            <w:webHidden/>
          </w:rPr>
          <w:instrText xml:space="preserve"> PAGEREF _Toc34295920 \h </w:instrText>
        </w:r>
        <w:r>
          <w:rPr>
            <w:noProof/>
            <w:webHidden/>
          </w:rPr>
        </w:r>
        <w:r>
          <w:rPr>
            <w:noProof/>
            <w:webHidden/>
          </w:rPr>
          <w:fldChar w:fldCharType="separate"/>
        </w:r>
        <w:r>
          <w:rPr>
            <w:noProof/>
            <w:webHidden/>
          </w:rPr>
          <w:t>32</w:t>
        </w:r>
        <w:r>
          <w:rPr>
            <w:noProof/>
            <w:webHidden/>
          </w:rPr>
          <w:fldChar w:fldCharType="end"/>
        </w:r>
      </w:hyperlink>
    </w:p>
    <w:p w14:paraId="361D3651"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21" w:history="1">
        <w:r w:rsidRPr="00532632">
          <w:rPr>
            <w:rStyle w:val="Hypertextovodkaz"/>
            <w:rFonts w:eastAsiaTheme="majorEastAsia"/>
            <w:noProof/>
          </w:rPr>
          <w:t>2.1.3.4</w:t>
        </w:r>
        <w:r>
          <w:rPr>
            <w:rFonts w:asciiTheme="minorHAnsi" w:eastAsiaTheme="minorEastAsia" w:hAnsiTheme="minorHAnsi" w:cstheme="minorBidi"/>
            <w:noProof/>
            <w:szCs w:val="22"/>
          </w:rPr>
          <w:tab/>
        </w:r>
        <w:r w:rsidRPr="00532632">
          <w:rPr>
            <w:rStyle w:val="Hypertextovodkaz"/>
            <w:rFonts w:eastAsiaTheme="majorEastAsia"/>
            <w:noProof/>
          </w:rPr>
          <w:t>Dlouhodobé výzvy v oblasti elektromobility</w:t>
        </w:r>
        <w:r>
          <w:rPr>
            <w:noProof/>
            <w:webHidden/>
          </w:rPr>
          <w:tab/>
        </w:r>
        <w:r>
          <w:rPr>
            <w:noProof/>
            <w:webHidden/>
          </w:rPr>
          <w:fldChar w:fldCharType="begin"/>
        </w:r>
        <w:r>
          <w:rPr>
            <w:noProof/>
            <w:webHidden/>
          </w:rPr>
          <w:instrText xml:space="preserve"> PAGEREF _Toc34295921 \h </w:instrText>
        </w:r>
        <w:r>
          <w:rPr>
            <w:noProof/>
            <w:webHidden/>
          </w:rPr>
        </w:r>
        <w:r>
          <w:rPr>
            <w:noProof/>
            <w:webHidden/>
          </w:rPr>
          <w:fldChar w:fldCharType="separate"/>
        </w:r>
        <w:r>
          <w:rPr>
            <w:noProof/>
            <w:webHidden/>
          </w:rPr>
          <w:t>37</w:t>
        </w:r>
        <w:r>
          <w:rPr>
            <w:noProof/>
            <w:webHidden/>
          </w:rPr>
          <w:fldChar w:fldCharType="end"/>
        </w:r>
      </w:hyperlink>
    </w:p>
    <w:p w14:paraId="19B99160" w14:textId="77777777" w:rsidR="00276F69" w:rsidRDefault="00276F69">
      <w:pPr>
        <w:pStyle w:val="Obsah1"/>
        <w:rPr>
          <w:rFonts w:asciiTheme="minorHAnsi" w:eastAsiaTheme="minorEastAsia" w:hAnsiTheme="minorHAnsi" w:cstheme="minorBidi"/>
          <w:b w:val="0"/>
          <w:sz w:val="22"/>
          <w:szCs w:val="22"/>
        </w:rPr>
      </w:pPr>
      <w:hyperlink w:anchor="_Toc34295922" w:history="1">
        <w:r w:rsidRPr="00532632">
          <w:rPr>
            <w:rStyle w:val="Hypertextovodkaz"/>
          </w:rPr>
          <w:t>3.</w:t>
        </w:r>
        <w:r>
          <w:rPr>
            <w:rFonts w:asciiTheme="minorHAnsi" w:eastAsiaTheme="minorEastAsia" w:hAnsiTheme="minorHAnsi" w:cstheme="minorBidi"/>
            <w:b w:val="0"/>
            <w:sz w:val="22"/>
            <w:szCs w:val="22"/>
          </w:rPr>
          <w:tab/>
        </w:r>
        <w:r w:rsidRPr="00532632">
          <w:rPr>
            <w:rStyle w:val="Hypertextovodkaz"/>
          </w:rPr>
          <w:t>Analytický materiál - plyn v rámci NAP CM</w:t>
        </w:r>
        <w:r>
          <w:rPr>
            <w:webHidden/>
          </w:rPr>
          <w:tab/>
        </w:r>
        <w:r>
          <w:rPr>
            <w:webHidden/>
          </w:rPr>
          <w:fldChar w:fldCharType="begin"/>
        </w:r>
        <w:r>
          <w:rPr>
            <w:webHidden/>
          </w:rPr>
          <w:instrText xml:space="preserve"> PAGEREF _Toc34295922 \h </w:instrText>
        </w:r>
        <w:r>
          <w:rPr>
            <w:webHidden/>
          </w:rPr>
        </w:r>
        <w:r>
          <w:rPr>
            <w:webHidden/>
          </w:rPr>
          <w:fldChar w:fldCharType="separate"/>
        </w:r>
        <w:r>
          <w:rPr>
            <w:webHidden/>
          </w:rPr>
          <w:t>45</w:t>
        </w:r>
        <w:r>
          <w:rPr>
            <w:webHidden/>
          </w:rPr>
          <w:fldChar w:fldCharType="end"/>
        </w:r>
      </w:hyperlink>
    </w:p>
    <w:p w14:paraId="7F0AE271"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23" w:history="1">
        <w:r w:rsidRPr="00532632">
          <w:rPr>
            <w:rStyle w:val="Hypertextovodkaz"/>
            <w:rFonts w:eastAsiaTheme="majorEastAsia"/>
            <w:noProof/>
          </w:rPr>
          <w:t>3.1</w:t>
        </w:r>
        <w:r>
          <w:rPr>
            <w:rFonts w:asciiTheme="minorHAnsi" w:eastAsiaTheme="minorEastAsia" w:hAnsiTheme="minorHAnsi" w:cstheme="minorBidi"/>
            <w:b w:val="0"/>
            <w:noProof/>
            <w:sz w:val="22"/>
            <w:szCs w:val="22"/>
          </w:rPr>
          <w:tab/>
        </w:r>
        <w:r w:rsidRPr="00532632">
          <w:rPr>
            <w:rStyle w:val="Hypertextovodkaz"/>
            <w:rFonts w:eastAsiaTheme="majorEastAsia"/>
            <w:noProof/>
          </w:rPr>
          <w:t>Stručné vyhodnocení cílů původního NAP CM</w:t>
        </w:r>
        <w:r>
          <w:rPr>
            <w:noProof/>
            <w:webHidden/>
          </w:rPr>
          <w:tab/>
        </w:r>
        <w:r>
          <w:rPr>
            <w:noProof/>
            <w:webHidden/>
          </w:rPr>
          <w:fldChar w:fldCharType="begin"/>
        </w:r>
        <w:r>
          <w:rPr>
            <w:noProof/>
            <w:webHidden/>
          </w:rPr>
          <w:instrText xml:space="preserve"> PAGEREF _Toc34295923 \h </w:instrText>
        </w:r>
        <w:r>
          <w:rPr>
            <w:noProof/>
            <w:webHidden/>
          </w:rPr>
        </w:r>
        <w:r>
          <w:rPr>
            <w:noProof/>
            <w:webHidden/>
          </w:rPr>
          <w:fldChar w:fldCharType="separate"/>
        </w:r>
        <w:r>
          <w:rPr>
            <w:noProof/>
            <w:webHidden/>
          </w:rPr>
          <w:t>45</w:t>
        </w:r>
        <w:r>
          <w:rPr>
            <w:noProof/>
            <w:webHidden/>
          </w:rPr>
          <w:fldChar w:fldCharType="end"/>
        </w:r>
      </w:hyperlink>
    </w:p>
    <w:p w14:paraId="5F9E0FB2"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24" w:history="1">
        <w:r w:rsidRPr="00532632">
          <w:rPr>
            <w:rStyle w:val="Hypertextovodkaz"/>
            <w:rFonts w:eastAsiaTheme="majorEastAsia"/>
            <w:noProof/>
          </w:rPr>
          <w:t>3.2</w:t>
        </w:r>
        <w:r>
          <w:rPr>
            <w:rFonts w:asciiTheme="minorHAnsi" w:eastAsiaTheme="minorEastAsia" w:hAnsiTheme="minorHAnsi" w:cstheme="minorBidi"/>
            <w:b w:val="0"/>
            <w:noProof/>
            <w:sz w:val="22"/>
            <w:szCs w:val="22"/>
          </w:rPr>
          <w:tab/>
        </w:r>
        <w:r w:rsidRPr="00532632">
          <w:rPr>
            <w:rStyle w:val="Hypertextovodkaz"/>
            <w:rFonts w:eastAsiaTheme="majorEastAsia"/>
            <w:noProof/>
          </w:rPr>
          <w:t>Rekapitulace východisek pro rozvoj mobility v oblasti CNG, LNG, biometanu (stávající stav)</w:t>
        </w:r>
        <w:r>
          <w:rPr>
            <w:noProof/>
            <w:webHidden/>
          </w:rPr>
          <w:tab/>
        </w:r>
        <w:r>
          <w:rPr>
            <w:noProof/>
            <w:webHidden/>
          </w:rPr>
          <w:fldChar w:fldCharType="begin"/>
        </w:r>
        <w:r>
          <w:rPr>
            <w:noProof/>
            <w:webHidden/>
          </w:rPr>
          <w:instrText xml:space="preserve"> PAGEREF _Toc34295924 \h </w:instrText>
        </w:r>
        <w:r>
          <w:rPr>
            <w:noProof/>
            <w:webHidden/>
          </w:rPr>
        </w:r>
        <w:r>
          <w:rPr>
            <w:noProof/>
            <w:webHidden/>
          </w:rPr>
          <w:fldChar w:fldCharType="separate"/>
        </w:r>
        <w:r>
          <w:rPr>
            <w:noProof/>
            <w:webHidden/>
          </w:rPr>
          <w:t>46</w:t>
        </w:r>
        <w:r>
          <w:rPr>
            <w:noProof/>
            <w:webHidden/>
          </w:rPr>
          <w:fldChar w:fldCharType="end"/>
        </w:r>
      </w:hyperlink>
    </w:p>
    <w:p w14:paraId="4DCD093D"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25" w:history="1">
        <w:r w:rsidRPr="00532632">
          <w:rPr>
            <w:rStyle w:val="Hypertextovodkaz"/>
            <w:rFonts w:eastAsiaTheme="majorEastAsia"/>
            <w:noProof/>
          </w:rPr>
          <w:t>3.2.1.</w:t>
        </w:r>
        <w:r>
          <w:rPr>
            <w:rFonts w:asciiTheme="minorHAnsi" w:eastAsiaTheme="minorEastAsia" w:hAnsiTheme="minorHAnsi" w:cstheme="minorBidi"/>
            <w:noProof/>
            <w:szCs w:val="22"/>
          </w:rPr>
          <w:tab/>
        </w:r>
        <w:r w:rsidRPr="00532632">
          <w:rPr>
            <w:rStyle w:val="Hypertextovodkaz"/>
            <w:rFonts w:eastAsiaTheme="majorEastAsia"/>
            <w:noProof/>
          </w:rPr>
          <w:t>Východiska</w:t>
        </w:r>
        <w:r>
          <w:rPr>
            <w:noProof/>
            <w:webHidden/>
          </w:rPr>
          <w:tab/>
        </w:r>
        <w:r>
          <w:rPr>
            <w:noProof/>
            <w:webHidden/>
          </w:rPr>
          <w:fldChar w:fldCharType="begin"/>
        </w:r>
        <w:r>
          <w:rPr>
            <w:noProof/>
            <w:webHidden/>
          </w:rPr>
          <w:instrText xml:space="preserve"> PAGEREF _Toc34295925 \h </w:instrText>
        </w:r>
        <w:r>
          <w:rPr>
            <w:noProof/>
            <w:webHidden/>
          </w:rPr>
        </w:r>
        <w:r>
          <w:rPr>
            <w:noProof/>
            <w:webHidden/>
          </w:rPr>
          <w:fldChar w:fldCharType="separate"/>
        </w:r>
        <w:r>
          <w:rPr>
            <w:noProof/>
            <w:webHidden/>
          </w:rPr>
          <w:t>46</w:t>
        </w:r>
        <w:r>
          <w:rPr>
            <w:noProof/>
            <w:webHidden/>
          </w:rPr>
          <w:fldChar w:fldCharType="end"/>
        </w:r>
      </w:hyperlink>
    </w:p>
    <w:p w14:paraId="4DE84060"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26" w:history="1">
        <w:r w:rsidRPr="00532632">
          <w:rPr>
            <w:rStyle w:val="Hypertextovodkaz"/>
            <w:rFonts w:eastAsiaTheme="majorEastAsia"/>
            <w:noProof/>
          </w:rPr>
          <w:t>3.2.2.</w:t>
        </w:r>
        <w:r>
          <w:rPr>
            <w:rFonts w:asciiTheme="minorHAnsi" w:eastAsiaTheme="minorEastAsia" w:hAnsiTheme="minorHAnsi" w:cstheme="minorBidi"/>
            <w:noProof/>
            <w:szCs w:val="22"/>
          </w:rPr>
          <w:tab/>
        </w:r>
        <w:r w:rsidRPr="00532632">
          <w:rPr>
            <w:rStyle w:val="Hypertextovodkaz"/>
            <w:rFonts w:eastAsiaTheme="majorEastAsia"/>
            <w:noProof/>
          </w:rPr>
          <w:t>Popis současného stavu</w:t>
        </w:r>
        <w:r>
          <w:rPr>
            <w:noProof/>
            <w:webHidden/>
          </w:rPr>
          <w:tab/>
        </w:r>
        <w:r>
          <w:rPr>
            <w:noProof/>
            <w:webHidden/>
          </w:rPr>
          <w:fldChar w:fldCharType="begin"/>
        </w:r>
        <w:r>
          <w:rPr>
            <w:noProof/>
            <w:webHidden/>
          </w:rPr>
          <w:instrText xml:space="preserve"> PAGEREF _Toc34295926 \h </w:instrText>
        </w:r>
        <w:r>
          <w:rPr>
            <w:noProof/>
            <w:webHidden/>
          </w:rPr>
        </w:r>
        <w:r>
          <w:rPr>
            <w:noProof/>
            <w:webHidden/>
          </w:rPr>
          <w:fldChar w:fldCharType="separate"/>
        </w:r>
        <w:r>
          <w:rPr>
            <w:noProof/>
            <w:webHidden/>
          </w:rPr>
          <w:t>46</w:t>
        </w:r>
        <w:r>
          <w:rPr>
            <w:noProof/>
            <w:webHidden/>
          </w:rPr>
          <w:fldChar w:fldCharType="end"/>
        </w:r>
      </w:hyperlink>
    </w:p>
    <w:p w14:paraId="61FA8D32"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27" w:history="1">
        <w:r w:rsidRPr="00532632">
          <w:rPr>
            <w:rStyle w:val="Hypertextovodkaz"/>
            <w:rFonts w:eastAsiaTheme="majorEastAsia"/>
            <w:noProof/>
          </w:rPr>
          <w:t>3.2.2.1</w:t>
        </w:r>
        <w:r>
          <w:rPr>
            <w:rFonts w:asciiTheme="minorHAnsi" w:eastAsiaTheme="minorEastAsia" w:hAnsiTheme="minorHAnsi" w:cstheme="minorBidi"/>
            <w:noProof/>
            <w:szCs w:val="22"/>
          </w:rPr>
          <w:tab/>
        </w:r>
        <w:r w:rsidRPr="00532632">
          <w:rPr>
            <w:rStyle w:val="Hypertextovodkaz"/>
            <w:rFonts w:eastAsiaTheme="majorEastAsia"/>
            <w:noProof/>
          </w:rPr>
          <w:t>CNG / LNG</w:t>
        </w:r>
        <w:r>
          <w:rPr>
            <w:noProof/>
            <w:webHidden/>
          </w:rPr>
          <w:tab/>
        </w:r>
        <w:r>
          <w:rPr>
            <w:noProof/>
            <w:webHidden/>
          </w:rPr>
          <w:fldChar w:fldCharType="begin"/>
        </w:r>
        <w:r>
          <w:rPr>
            <w:noProof/>
            <w:webHidden/>
          </w:rPr>
          <w:instrText xml:space="preserve"> PAGEREF _Toc34295927 \h </w:instrText>
        </w:r>
        <w:r>
          <w:rPr>
            <w:noProof/>
            <w:webHidden/>
          </w:rPr>
        </w:r>
        <w:r>
          <w:rPr>
            <w:noProof/>
            <w:webHidden/>
          </w:rPr>
          <w:fldChar w:fldCharType="separate"/>
        </w:r>
        <w:r>
          <w:rPr>
            <w:noProof/>
            <w:webHidden/>
          </w:rPr>
          <w:t>46</w:t>
        </w:r>
        <w:r>
          <w:rPr>
            <w:noProof/>
            <w:webHidden/>
          </w:rPr>
          <w:fldChar w:fldCharType="end"/>
        </w:r>
      </w:hyperlink>
    </w:p>
    <w:p w14:paraId="6407ADB3"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28" w:history="1">
        <w:r w:rsidRPr="00532632">
          <w:rPr>
            <w:rStyle w:val="Hypertextovodkaz"/>
            <w:rFonts w:eastAsiaTheme="majorEastAsia"/>
            <w:noProof/>
          </w:rPr>
          <w:t>3.2.2.2</w:t>
        </w:r>
        <w:r>
          <w:rPr>
            <w:rFonts w:asciiTheme="minorHAnsi" w:eastAsiaTheme="minorEastAsia" w:hAnsiTheme="minorHAnsi" w:cstheme="minorBidi"/>
            <w:noProof/>
            <w:szCs w:val="22"/>
          </w:rPr>
          <w:tab/>
        </w:r>
        <w:r w:rsidRPr="00532632">
          <w:rPr>
            <w:rStyle w:val="Hypertextovodkaz"/>
            <w:rFonts w:eastAsiaTheme="majorEastAsia"/>
            <w:noProof/>
          </w:rPr>
          <w:t>Bioplyn / biometan</w:t>
        </w:r>
        <w:r>
          <w:rPr>
            <w:noProof/>
            <w:webHidden/>
          </w:rPr>
          <w:tab/>
        </w:r>
        <w:r>
          <w:rPr>
            <w:noProof/>
            <w:webHidden/>
          </w:rPr>
          <w:fldChar w:fldCharType="begin"/>
        </w:r>
        <w:r>
          <w:rPr>
            <w:noProof/>
            <w:webHidden/>
          </w:rPr>
          <w:instrText xml:space="preserve"> PAGEREF _Toc34295928 \h </w:instrText>
        </w:r>
        <w:r>
          <w:rPr>
            <w:noProof/>
            <w:webHidden/>
          </w:rPr>
        </w:r>
        <w:r>
          <w:rPr>
            <w:noProof/>
            <w:webHidden/>
          </w:rPr>
          <w:fldChar w:fldCharType="separate"/>
        </w:r>
        <w:r>
          <w:rPr>
            <w:noProof/>
            <w:webHidden/>
          </w:rPr>
          <w:t>50</w:t>
        </w:r>
        <w:r>
          <w:rPr>
            <w:noProof/>
            <w:webHidden/>
          </w:rPr>
          <w:fldChar w:fldCharType="end"/>
        </w:r>
      </w:hyperlink>
    </w:p>
    <w:p w14:paraId="159F9382"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29" w:history="1">
        <w:r w:rsidRPr="00532632">
          <w:rPr>
            <w:rStyle w:val="Hypertextovodkaz"/>
            <w:rFonts w:eastAsiaTheme="majorEastAsia"/>
            <w:noProof/>
          </w:rPr>
          <w:t>3.2.3.</w:t>
        </w:r>
        <w:r>
          <w:rPr>
            <w:rFonts w:asciiTheme="minorHAnsi" w:eastAsiaTheme="minorEastAsia" w:hAnsiTheme="minorHAnsi" w:cstheme="minorBidi"/>
            <w:noProof/>
            <w:szCs w:val="22"/>
          </w:rPr>
          <w:tab/>
        </w:r>
        <w:r w:rsidRPr="00532632">
          <w:rPr>
            <w:rStyle w:val="Hypertextovodkaz"/>
            <w:rFonts w:eastAsiaTheme="majorEastAsia"/>
            <w:noProof/>
          </w:rPr>
          <w:t>Kvantifikace úspor emisí CO</w:t>
        </w:r>
        <w:r w:rsidRPr="00532632">
          <w:rPr>
            <w:rStyle w:val="Hypertextovodkaz"/>
            <w:rFonts w:eastAsiaTheme="majorEastAsia"/>
            <w:noProof/>
            <w:vertAlign w:val="subscript"/>
          </w:rPr>
          <w:t>2</w:t>
        </w:r>
        <w:r>
          <w:rPr>
            <w:noProof/>
            <w:webHidden/>
          </w:rPr>
          <w:tab/>
        </w:r>
        <w:r>
          <w:rPr>
            <w:noProof/>
            <w:webHidden/>
          </w:rPr>
          <w:fldChar w:fldCharType="begin"/>
        </w:r>
        <w:r>
          <w:rPr>
            <w:noProof/>
            <w:webHidden/>
          </w:rPr>
          <w:instrText xml:space="preserve"> PAGEREF _Toc34295929 \h </w:instrText>
        </w:r>
        <w:r>
          <w:rPr>
            <w:noProof/>
            <w:webHidden/>
          </w:rPr>
        </w:r>
        <w:r>
          <w:rPr>
            <w:noProof/>
            <w:webHidden/>
          </w:rPr>
          <w:fldChar w:fldCharType="separate"/>
        </w:r>
        <w:r>
          <w:rPr>
            <w:noProof/>
            <w:webHidden/>
          </w:rPr>
          <w:t>50</w:t>
        </w:r>
        <w:r>
          <w:rPr>
            <w:noProof/>
            <w:webHidden/>
          </w:rPr>
          <w:fldChar w:fldCharType="end"/>
        </w:r>
      </w:hyperlink>
    </w:p>
    <w:p w14:paraId="25EA8FC9"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0" w:history="1">
        <w:r w:rsidRPr="00532632">
          <w:rPr>
            <w:rStyle w:val="Hypertextovodkaz"/>
            <w:rFonts w:eastAsiaTheme="majorEastAsia"/>
            <w:noProof/>
          </w:rPr>
          <w:t>3.2.4.</w:t>
        </w:r>
        <w:r>
          <w:rPr>
            <w:rFonts w:asciiTheme="minorHAnsi" w:eastAsiaTheme="minorEastAsia" w:hAnsiTheme="minorHAnsi" w:cstheme="minorBidi"/>
            <w:noProof/>
            <w:szCs w:val="22"/>
          </w:rPr>
          <w:tab/>
        </w:r>
        <w:r w:rsidRPr="00532632">
          <w:rPr>
            <w:rStyle w:val="Hypertextovodkaz"/>
            <w:rFonts w:eastAsiaTheme="majorEastAsia"/>
            <w:noProof/>
          </w:rPr>
          <w:t>Potenciál užití zemního plynu v dalších druzích dopravy</w:t>
        </w:r>
        <w:r>
          <w:rPr>
            <w:noProof/>
            <w:webHidden/>
          </w:rPr>
          <w:tab/>
        </w:r>
        <w:r>
          <w:rPr>
            <w:noProof/>
            <w:webHidden/>
          </w:rPr>
          <w:fldChar w:fldCharType="begin"/>
        </w:r>
        <w:r>
          <w:rPr>
            <w:noProof/>
            <w:webHidden/>
          </w:rPr>
          <w:instrText xml:space="preserve"> PAGEREF _Toc34295930 \h </w:instrText>
        </w:r>
        <w:r>
          <w:rPr>
            <w:noProof/>
            <w:webHidden/>
          </w:rPr>
        </w:r>
        <w:r>
          <w:rPr>
            <w:noProof/>
            <w:webHidden/>
          </w:rPr>
          <w:fldChar w:fldCharType="separate"/>
        </w:r>
        <w:r>
          <w:rPr>
            <w:noProof/>
            <w:webHidden/>
          </w:rPr>
          <w:t>53</w:t>
        </w:r>
        <w:r>
          <w:rPr>
            <w:noProof/>
            <w:webHidden/>
          </w:rPr>
          <w:fldChar w:fldCharType="end"/>
        </w:r>
      </w:hyperlink>
    </w:p>
    <w:p w14:paraId="329AD648"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1" w:history="1">
        <w:r w:rsidRPr="00532632">
          <w:rPr>
            <w:rStyle w:val="Hypertextovodkaz"/>
            <w:rFonts w:eastAsiaTheme="majorEastAsia"/>
            <w:noProof/>
          </w:rPr>
          <w:t>3.2.5.</w:t>
        </w:r>
        <w:r>
          <w:rPr>
            <w:rFonts w:asciiTheme="minorHAnsi" w:eastAsiaTheme="minorEastAsia" w:hAnsiTheme="minorHAnsi" w:cstheme="minorBidi"/>
            <w:noProof/>
            <w:szCs w:val="22"/>
          </w:rPr>
          <w:tab/>
        </w:r>
        <w:r w:rsidRPr="00532632">
          <w:rPr>
            <w:rStyle w:val="Hypertextovodkaz"/>
            <w:rFonts w:eastAsiaTheme="majorEastAsia"/>
            <w:noProof/>
          </w:rPr>
          <w:t>Bariéry podstatného využití vozidel na plynná paliva</w:t>
        </w:r>
        <w:r>
          <w:rPr>
            <w:noProof/>
            <w:webHidden/>
          </w:rPr>
          <w:tab/>
        </w:r>
        <w:r>
          <w:rPr>
            <w:noProof/>
            <w:webHidden/>
          </w:rPr>
          <w:fldChar w:fldCharType="begin"/>
        </w:r>
        <w:r>
          <w:rPr>
            <w:noProof/>
            <w:webHidden/>
          </w:rPr>
          <w:instrText xml:space="preserve"> PAGEREF _Toc34295931 \h </w:instrText>
        </w:r>
        <w:r>
          <w:rPr>
            <w:noProof/>
            <w:webHidden/>
          </w:rPr>
        </w:r>
        <w:r>
          <w:rPr>
            <w:noProof/>
            <w:webHidden/>
          </w:rPr>
          <w:fldChar w:fldCharType="separate"/>
        </w:r>
        <w:r>
          <w:rPr>
            <w:noProof/>
            <w:webHidden/>
          </w:rPr>
          <w:t>54</w:t>
        </w:r>
        <w:r>
          <w:rPr>
            <w:noProof/>
            <w:webHidden/>
          </w:rPr>
          <w:fldChar w:fldCharType="end"/>
        </w:r>
      </w:hyperlink>
    </w:p>
    <w:p w14:paraId="791B4DD6"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2" w:history="1">
        <w:r w:rsidRPr="00532632">
          <w:rPr>
            <w:rStyle w:val="Hypertextovodkaz"/>
            <w:rFonts w:eastAsiaTheme="majorEastAsia"/>
            <w:noProof/>
          </w:rPr>
          <w:t>3.2.6.</w:t>
        </w:r>
        <w:r>
          <w:rPr>
            <w:rFonts w:asciiTheme="minorHAnsi" w:eastAsiaTheme="minorEastAsia" w:hAnsiTheme="minorHAnsi" w:cstheme="minorBidi"/>
            <w:noProof/>
            <w:szCs w:val="22"/>
          </w:rPr>
          <w:tab/>
        </w:r>
        <w:r w:rsidRPr="00532632">
          <w:rPr>
            <w:rStyle w:val="Hypertextovodkaz"/>
            <w:rFonts w:eastAsiaTheme="majorEastAsia"/>
            <w:noProof/>
          </w:rPr>
          <w:t>Legislativa v oblasti CNG/LNG</w:t>
        </w:r>
        <w:r>
          <w:rPr>
            <w:noProof/>
            <w:webHidden/>
          </w:rPr>
          <w:tab/>
        </w:r>
        <w:r>
          <w:rPr>
            <w:noProof/>
            <w:webHidden/>
          </w:rPr>
          <w:fldChar w:fldCharType="begin"/>
        </w:r>
        <w:r>
          <w:rPr>
            <w:noProof/>
            <w:webHidden/>
          </w:rPr>
          <w:instrText xml:space="preserve"> PAGEREF _Toc34295932 \h </w:instrText>
        </w:r>
        <w:r>
          <w:rPr>
            <w:noProof/>
            <w:webHidden/>
          </w:rPr>
        </w:r>
        <w:r>
          <w:rPr>
            <w:noProof/>
            <w:webHidden/>
          </w:rPr>
          <w:fldChar w:fldCharType="separate"/>
        </w:r>
        <w:r>
          <w:rPr>
            <w:noProof/>
            <w:webHidden/>
          </w:rPr>
          <w:t>55</w:t>
        </w:r>
        <w:r>
          <w:rPr>
            <w:noProof/>
            <w:webHidden/>
          </w:rPr>
          <w:fldChar w:fldCharType="end"/>
        </w:r>
      </w:hyperlink>
    </w:p>
    <w:p w14:paraId="27860819"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33" w:history="1">
        <w:r w:rsidRPr="00532632">
          <w:rPr>
            <w:rStyle w:val="Hypertextovodkaz"/>
            <w:rFonts w:eastAsiaTheme="majorEastAsia"/>
            <w:noProof/>
          </w:rPr>
          <w:t>3.3</w:t>
        </w:r>
        <w:r>
          <w:rPr>
            <w:rFonts w:asciiTheme="minorHAnsi" w:eastAsiaTheme="minorEastAsia" w:hAnsiTheme="minorHAnsi" w:cstheme="minorBidi"/>
            <w:b w:val="0"/>
            <w:noProof/>
            <w:sz w:val="22"/>
            <w:szCs w:val="22"/>
          </w:rPr>
          <w:tab/>
        </w:r>
        <w:r w:rsidRPr="00532632">
          <w:rPr>
            <w:rStyle w:val="Hypertextovodkaz"/>
            <w:rFonts w:eastAsiaTheme="majorEastAsia"/>
            <w:noProof/>
          </w:rPr>
          <w:t>Predikce vývoje (zemní plyn)</w:t>
        </w:r>
        <w:r>
          <w:rPr>
            <w:noProof/>
            <w:webHidden/>
          </w:rPr>
          <w:tab/>
        </w:r>
        <w:r>
          <w:rPr>
            <w:noProof/>
            <w:webHidden/>
          </w:rPr>
          <w:fldChar w:fldCharType="begin"/>
        </w:r>
        <w:r>
          <w:rPr>
            <w:noProof/>
            <w:webHidden/>
          </w:rPr>
          <w:instrText xml:space="preserve"> PAGEREF _Toc34295933 \h </w:instrText>
        </w:r>
        <w:r>
          <w:rPr>
            <w:noProof/>
            <w:webHidden/>
          </w:rPr>
        </w:r>
        <w:r>
          <w:rPr>
            <w:noProof/>
            <w:webHidden/>
          </w:rPr>
          <w:fldChar w:fldCharType="separate"/>
        </w:r>
        <w:r>
          <w:rPr>
            <w:noProof/>
            <w:webHidden/>
          </w:rPr>
          <w:t>56</w:t>
        </w:r>
        <w:r>
          <w:rPr>
            <w:noProof/>
            <w:webHidden/>
          </w:rPr>
          <w:fldChar w:fldCharType="end"/>
        </w:r>
      </w:hyperlink>
    </w:p>
    <w:p w14:paraId="5BF17C93"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4" w:history="1">
        <w:r w:rsidRPr="00532632">
          <w:rPr>
            <w:rStyle w:val="Hypertextovodkaz"/>
            <w:rFonts w:eastAsiaTheme="majorEastAsia"/>
            <w:noProof/>
          </w:rPr>
          <w:t>3.3.1.</w:t>
        </w:r>
        <w:r>
          <w:rPr>
            <w:rFonts w:asciiTheme="minorHAnsi" w:eastAsiaTheme="minorEastAsia" w:hAnsiTheme="minorHAnsi" w:cstheme="minorBidi"/>
            <w:noProof/>
            <w:szCs w:val="22"/>
          </w:rPr>
          <w:tab/>
        </w:r>
        <w:r w:rsidRPr="00532632">
          <w:rPr>
            <w:rStyle w:val="Hypertextovodkaz"/>
            <w:rFonts w:eastAsiaTheme="majorEastAsia"/>
            <w:noProof/>
          </w:rPr>
          <w:t>Charakteristika a předpoklady jednotlivých variant</w:t>
        </w:r>
        <w:r>
          <w:rPr>
            <w:noProof/>
            <w:webHidden/>
          </w:rPr>
          <w:tab/>
        </w:r>
        <w:r>
          <w:rPr>
            <w:noProof/>
            <w:webHidden/>
          </w:rPr>
          <w:fldChar w:fldCharType="begin"/>
        </w:r>
        <w:r>
          <w:rPr>
            <w:noProof/>
            <w:webHidden/>
          </w:rPr>
          <w:instrText xml:space="preserve"> PAGEREF _Toc34295934 \h </w:instrText>
        </w:r>
        <w:r>
          <w:rPr>
            <w:noProof/>
            <w:webHidden/>
          </w:rPr>
        </w:r>
        <w:r>
          <w:rPr>
            <w:noProof/>
            <w:webHidden/>
          </w:rPr>
          <w:fldChar w:fldCharType="separate"/>
        </w:r>
        <w:r>
          <w:rPr>
            <w:noProof/>
            <w:webHidden/>
          </w:rPr>
          <w:t>56</w:t>
        </w:r>
        <w:r>
          <w:rPr>
            <w:noProof/>
            <w:webHidden/>
          </w:rPr>
          <w:fldChar w:fldCharType="end"/>
        </w:r>
      </w:hyperlink>
    </w:p>
    <w:p w14:paraId="5A44F6E8"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5" w:history="1">
        <w:r w:rsidRPr="00532632">
          <w:rPr>
            <w:rStyle w:val="Hypertextovodkaz"/>
            <w:rFonts w:eastAsiaTheme="majorEastAsia"/>
            <w:noProof/>
          </w:rPr>
          <w:t>3.3.2.</w:t>
        </w:r>
        <w:r>
          <w:rPr>
            <w:rFonts w:asciiTheme="minorHAnsi" w:eastAsiaTheme="minorEastAsia" w:hAnsiTheme="minorHAnsi" w:cstheme="minorBidi"/>
            <w:noProof/>
            <w:szCs w:val="22"/>
          </w:rPr>
          <w:tab/>
        </w:r>
        <w:r w:rsidRPr="00532632">
          <w:rPr>
            <w:rStyle w:val="Hypertextovodkaz"/>
            <w:rFonts w:eastAsiaTheme="majorEastAsia"/>
            <w:noProof/>
          </w:rPr>
          <w:t>Predikce vývoje vozového parku na CNG a LNG</w:t>
        </w:r>
        <w:r>
          <w:rPr>
            <w:noProof/>
            <w:webHidden/>
          </w:rPr>
          <w:tab/>
        </w:r>
        <w:r>
          <w:rPr>
            <w:noProof/>
            <w:webHidden/>
          </w:rPr>
          <w:fldChar w:fldCharType="begin"/>
        </w:r>
        <w:r>
          <w:rPr>
            <w:noProof/>
            <w:webHidden/>
          </w:rPr>
          <w:instrText xml:space="preserve"> PAGEREF _Toc34295935 \h </w:instrText>
        </w:r>
        <w:r>
          <w:rPr>
            <w:noProof/>
            <w:webHidden/>
          </w:rPr>
        </w:r>
        <w:r>
          <w:rPr>
            <w:noProof/>
            <w:webHidden/>
          </w:rPr>
          <w:fldChar w:fldCharType="separate"/>
        </w:r>
        <w:r>
          <w:rPr>
            <w:noProof/>
            <w:webHidden/>
          </w:rPr>
          <w:t>58</w:t>
        </w:r>
        <w:r>
          <w:rPr>
            <w:noProof/>
            <w:webHidden/>
          </w:rPr>
          <w:fldChar w:fldCharType="end"/>
        </w:r>
      </w:hyperlink>
    </w:p>
    <w:p w14:paraId="22C10484"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6" w:history="1">
        <w:r w:rsidRPr="00532632">
          <w:rPr>
            <w:rStyle w:val="Hypertextovodkaz"/>
            <w:rFonts w:eastAsiaTheme="majorEastAsia"/>
            <w:noProof/>
          </w:rPr>
          <w:t>3.3.3.</w:t>
        </w:r>
        <w:r>
          <w:rPr>
            <w:rFonts w:asciiTheme="minorHAnsi" w:eastAsiaTheme="minorEastAsia" w:hAnsiTheme="minorHAnsi" w:cstheme="minorBidi"/>
            <w:noProof/>
            <w:szCs w:val="22"/>
          </w:rPr>
          <w:tab/>
        </w:r>
        <w:r w:rsidRPr="00532632">
          <w:rPr>
            <w:rStyle w:val="Hypertextovodkaz"/>
            <w:rFonts w:eastAsiaTheme="majorEastAsia"/>
            <w:noProof/>
          </w:rPr>
          <w:t>Predikce spotřeby zemního plynu</w:t>
        </w:r>
        <w:r>
          <w:rPr>
            <w:noProof/>
            <w:webHidden/>
          </w:rPr>
          <w:tab/>
        </w:r>
        <w:r>
          <w:rPr>
            <w:noProof/>
            <w:webHidden/>
          </w:rPr>
          <w:fldChar w:fldCharType="begin"/>
        </w:r>
        <w:r>
          <w:rPr>
            <w:noProof/>
            <w:webHidden/>
          </w:rPr>
          <w:instrText xml:space="preserve"> PAGEREF _Toc34295936 \h </w:instrText>
        </w:r>
        <w:r>
          <w:rPr>
            <w:noProof/>
            <w:webHidden/>
          </w:rPr>
        </w:r>
        <w:r>
          <w:rPr>
            <w:noProof/>
            <w:webHidden/>
          </w:rPr>
          <w:fldChar w:fldCharType="separate"/>
        </w:r>
        <w:r>
          <w:rPr>
            <w:noProof/>
            <w:webHidden/>
          </w:rPr>
          <w:t>59</w:t>
        </w:r>
        <w:r>
          <w:rPr>
            <w:noProof/>
            <w:webHidden/>
          </w:rPr>
          <w:fldChar w:fldCharType="end"/>
        </w:r>
      </w:hyperlink>
    </w:p>
    <w:p w14:paraId="61D6F473"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37" w:history="1">
        <w:r w:rsidRPr="00532632">
          <w:rPr>
            <w:rStyle w:val="Hypertextovodkaz"/>
            <w:rFonts w:eastAsiaTheme="majorEastAsia"/>
            <w:noProof/>
          </w:rPr>
          <w:t>3.3.4.</w:t>
        </w:r>
        <w:r>
          <w:rPr>
            <w:rFonts w:asciiTheme="minorHAnsi" w:eastAsiaTheme="minorEastAsia" w:hAnsiTheme="minorHAnsi" w:cstheme="minorBidi"/>
            <w:noProof/>
            <w:szCs w:val="22"/>
          </w:rPr>
          <w:tab/>
        </w:r>
        <w:r w:rsidRPr="00532632">
          <w:rPr>
            <w:rStyle w:val="Hypertextovodkaz"/>
            <w:rFonts w:eastAsiaTheme="majorEastAsia"/>
            <w:noProof/>
          </w:rPr>
          <w:t>Predikce vývoje užití biometanu v dopravě</w:t>
        </w:r>
        <w:r>
          <w:rPr>
            <w:noProof/>
            <w:webHidden/>
          </w:rPr>
          <w:tab/>
        </w:r>
        <w:r>
          <w:rPr>
            <w:noProof/>
            <w:webHidden/>
          </w:rPr>
          <w:fldChar w:fldCharType="begin"/>
        </w:r>
        <w:r>
          <w:rPr>
            <w:noProof/>
            <w:webHidden/>
          </w:rPr>
          <w:instrText xml:space="preserve"> PAGEREF _Toc34295937 \h </w:instrText>
        </w:r>
        <w:r>
          <w:rPr>
            <w:noProof/>
            <w:webHidden/>
          </w:rPr>
        </w:r>
        <w:r>
          <w:rPr>
            <w:noProof/>
            <w:webHidden/>
          </w:rPr>
          <w:fldChar w:fldCharType="separate"/>
        </w:r>
        <w:r>
          <w:rPr>
            <w:noProof/>
            <w:webHidden/>
          </w:rPr>
          <w:t>61</w:t>
        </w:r>
        <w:r>
          <w:rPr>
            <w:noProof/>
            <w:webHidden/>
          </w:rPr>
          <w:fldChar w:fldCharType="end"/>
        </w:r>
      </w:hyperlink>
    </w:p>
    <w:p w14:paraId="0E6CB7F9"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38" w:history="1">
        <w:r w:rsidRPr="00532632">
          <w:rPr>
            <w:rStyle w:val="Hypertextovodkaz"/>
            <w:rFonts w:eastAsiaTheme="majorEastAsia"/>
            <w:noProof/>
          </w:rPr>
          <w:t>3.3.4.1</w:t>
        </w:r>
        <w:r>
          <w:rPr>
            <w:rFonts w:asciiTheme="minorHAnsi" w:eastAsiaTheme="minorEastAsia" w:hAnsiTheme="minorHAnsi" w:cstheme="minorBidi"/>
            <w:noProof/>
            <w:szCs w:val="22"/>
          </w:rPr>
          <w:tab/>
        </w:r>
        <w:r w:rsidRPr="00532632">
          <w:rPr>
            <w:rStyle w:val="Hypertextovodkaz"/>
            <w:rFonts w:eastAsiaTheme="majorEastAsia"/>
            <w:noProof/>
          </w:rPr>
          <w:t>Pokročilý biometan jako nezbytné alternativní palivo</w:t>
        </w:r>
        <w:r>
          <w:rPr>
            <w:noProof/>
            <w:webHidden/>
          </w:rPr>
          <w:tab/>
        </w:r>
        <w:r>
          <w:rPr>
            <w:noProof/>
            <w:webHidden/>
          </w:rPr>
          <w:fldChar w:fldCharType="begin"/>
        </w:r>
        <w:r>
          <w:rPr>
            <w:noProof/>
            <w:webHidden/>
          </w:rPr>
          <w:instrText xml:space="preserve"> PAGEREF _Toc34295938 \h </w:instrText>
        </w:r>
        <w:r>
          <w:rPr>
            <w:noProof/>
            <w:webHidden/>
          </w:rPr>
        </w:r>
        <w:r>
          <w:rPr>
            <w:noProof/>
            <w:webHidden/>
          </w:rPr>
          <w:fldChar w:fldCharType="separate"/>
        </w:r>
        <w:r>
          <w:rPr>
            <w:noProof/>
            <w:webHidden/>
          </w:rPr>
          <w:t>61</w:t>
        </w:r>
        <w:r>
          <w:rPr>
            <w:noProof/>
            <w:webHidden/>
          </w:rPr>
          <w:fldChar w:fldCharType="end"/>
        </w:r>
      </w:hyperlink>
    </w:p>
    <w:p w14:paraId="7BDA76EA"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39" w:history="1">
        <w:r w:rsidRPr="00532632">
          <w:rPr>
            <w:rStyle w:val="Hypertextovodkaz"/>
            <w:rFonts w:eastAsiaTheme="majorEastAsia"/>
            <w:noProof/>
          </w:rPr>
          <w:t>3.3.4.2</w:t>
        </w:r>
        <w:r>
          <w:rPr>
            <w:rFonts w:asciiTheme="minorHAnsi" w:eastAsiaTheme="minorEastAsia" w:hAnsiTheme="minorHAnsi" w:cstheme="minorBidi"/>
            <w:noProof/>
            <w:szCs w:val="22"/>
          </w:rPr>
          <w:tab/>
        </w:r>
        <w:r w:rsidRPr="00532632">
          <w:rPr>
            <w:rStyle w:val="Hypertextovodkaz"/>
            <w:rFonts w:eastAsiaTheme="majorEastAsia"/>
            <w:noProof/>
          </w:rPr>
          <w:t>Potenciál výroby pokročilého biometanu v ČR</w:t>
        </w:r>
        <w:r>
          <w:rPr>
            <w:noProof/>
            <w:webHidden/>
          </w:rPr>
          <w:tab/>
        </w:r>
        <w:r>
          <w:rPr>
            <w:noProof/>
            <w:webHidden/>
          </w:rPr>
          <w:fldChar w:fldCharType="begin"/>
        </w:r>
        <w:r>
          <w:rPr>
            <w:noProof/>
            <w:webHidden/>
          </w:rPr>
          <w:instrText xml:space="preserve"> PAGEREF _Toc34295939 \h </w:instrText>
        </w:r>
        <w:r>
          <w:rPr>
            <w:noProof/>
            <w:webHidden/>
          </w:rPr>
        </w:r>
        <w:r>
          <w:rPr>
            <w:noProof/>
            <w:webHidden/>
          </w:rPr>
          <w:fldChar w:fldCharType="separate"/>
        </w:r>
        <w:r>
          <w:rPr>
            <w:noProof/>
            <w:webHidden/>
          </w:rPr>
          <w:t>62</w:t>
        </w:r>
        <w:r>
          <w:rPr>
            <w:noProof/>
            <w:webHidden/>
          </w:rPr>
          <w:fldChar w:fldCharType="end"/>
        </w:r>
      </w:hyperlink>
    </w:p>
    <w:p w14:paraId="0710D656"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40" w:history="1">
        <w:r w:rsidRPr="00532632">
          <w:rPr>
            <w:rStyle w:val="Hypertextovodkaz"/>
            <w:rFonts w:eastAsiaTheme="majorEastAsia"/>
            <w:noProof/>
          </w:rPr>
          <w:t>3.3.4.3</w:t>
        </w:r>
        <w:r>
          <w:rPr>
            <w:rFonts w:asciiTheme="minorHAnsi" w:eastAsiaTheme="minorEastAsia" w:hAnsiTheme="minorHAnsi" w:cstheme="minorBidi"/>
            <w:noProof/>
            <w:szCs w:val="22"/>
          </w:rPr>
          <w:tab/>
        </w:r>
        <w:r w:rsidRPr="00532632">
          <w:rPr>
            <w:rStyle w:val="Hypertextovodkaz"/>
            <w:rFonts w:eastAsiaTheme="majorEastAsia"/>
            <w:noProof/>
          </w:rPr>
          <w:t>Charakteristika a předpoklady jednotlivých variant</w:t>
        </w:r>
        <w:r>
          <w:rPr>
            <w:noProof/>
            <w:webHidden/>
          </w:rPr>
          <w:tab/>
        </w:r>
        <w:r>
          <w:rPr>
            <w:noProof/>
            <w:webHidden/>
          </w:rPr>
          <w:fldChar w:fldCharType="begin"/>
        </w:r>
        <w:r>
          <w:rPr>
            <w:noProof/>
            <w:webHidden/>
          </w:rPr>
          <w:instrText xml:space="preserve"> PAGEREF _Toc34295940 \h </w:instrText>
        </w:r>
        <w:r>
          <w:rPr>
            <w:noProof/>
            <w:webHidden/>
          </w:rPr>
        </w:r>
        <w:r>
          <w:rPr>
            <w:noProof/>
            <w:webHidden/>
          </w:rPr>
          <w:fldChar w:fldCharType="separate"/>
        </w:r>
        <w:r>
          <w:rPr>
            <w:noProof/>
            <w:webHidden/>
          </w:rPr>
          <w:t>63</w:t>
        </w:r>
        <w:r>
          <w:rPr>
            <w:noProof/>
            <w:webHidden/>
          </w:rPr>
          <w:fldChar w:fldCharType="end"/>
        </w:r>
      </w:hyperlink>
    </w:p>
    <w:p w14:paraId="2BFB674D" w14:textId="77777777" w:rsidR="00276F69" w:rsidRDefault="00276F69">
      <w:pPr>
        <w:pStyle w:val="Obsah1"/>
        <w:rPr>
          <w:rFonts w:asciiTheme="minorHAnsi" w:eastAsiaTheme="minorEastAsia" w:hAnsiTheme="minorHAnsi" w:cstheme="minorBidi"/>
          <w:b w:val="0"/>
          <w:sz w:val="22"/>
          <w:szCs w:val="22"/>
        </w:rPr>
      </w:pPr>
      <w:hyperlink w:anchor="_Toc34295941" w:history="1">
        <w:r w:rsidRPr="00532632">
          <w:rPr>
            <w:rStyle w:val="Hypertextovodkaz"/>
          </w:rPr>
          <w:t>4.</w:t>
        </w:r>
        <w:r>
          <w:rPr>
            <w:rFonts w:asciiTheme="minorHAnsi" w:eastAsiaTheme="minorEastAsia" w:hAnsiTheme="minorHAnsi" w:cstheme="minorBidi"/>
            <w:b w:val="0"/>
            <w:sz w:val="22"/>
            <w:szCs w:val="22"/>
          </w:rPr>
          <w:tab/>
        </w:r>
        <w:r w:rsidRPr="00532632">
          <w:rPr>
            <w:rStyle w:val="Hypertextovodkaz"/>
          </w:rPr>
          <w:t>Analytický materiál - vodíková elektromobilita v rámci NAP CM</w:t>
        </w:r>
        <w:r>
          <w:rPr>
            <w:webHidden/>
          </w:rPr>
          <w:tab/>
        </w:r>
        <w:r>
          <w:rPr>
            <w:webHidden/>
          </w:rPr>
          <w:fldChar w:fldCharType="begin"/>
        </w:r>
        <w:r>
          <w:rPr>
            <w:webHidden/>
          </w:rPr>
          <w:instrText xml:space="preserve"> PAGEREF _Toc34295941 \h </w:instrText>
        </w:r>
        <w:r>
          <w:rPr>
            <w:webHidden/>
          </w:rPr>
        </w:r>
        <w:r>
          <w:rPr>
            <w:webHidden/>
          </w:rPr>
          <w:fldChar w:fldCharType="separate"/>
        </w:r>
        <w:r>
          <w:rPr>
            <w:webHidden/>
          </w:rPr>
          <w:t>68</w:t>
        </w:r>
        <w:r>
          <w:rPr>
            <w:webHidden/>
          </w:rPr>
          <w:fldChar w:fldCharType="end"/>
        </w:r>
      </w:hyperlink>
    </w:p>
    <w:p w14:paraId="66B6C871"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42" w:history="1">
        <w:r w:rsidRPr="00532632">
          <w:rPr>
            <w:rStyle w:val="Hypertextovodkaz"/>
            <w:rFonts w:eastAsiaTheme="majorEastAsia"/>
            <w:noProof/>
          </w:rPr>
          <w:t>4.1</w:t>
        </w:r>
        <w:r>
          <w:rPr>
            <w:rFonts w:asciiTheme="minorHAnsi" w:eastAsiaTheme="minorEastAsia" w:hAnsiTheme="minorHAnsi" w:cstheme="minorBidi"/>
            <w:b w:val="0"/>
            <w:noProof/>
            <w:sz w:val="22"/>
            <w:szCs w:val="22"/>
          </w:rPr>
          <w:tab/>
        </w:r>
        <w:r w:rsidRPr="00532632">
          <w:rPr>
            <w:rStyle w:val="Hypertextovodkaz"/>
            <w:rFonts w:eastAsiaTheme="majorEastAsia"/>
            <w:noProof/>
          </w:rPr>
          <w:t>Vymezení základních pojmů</w:t>
        </w:r>
        <w:r>
          <w:rPr>
            <w:noProof/>
            <w:webHidden/>
          </w:rPr>
          <w:tab/>
        </w:r>
        <w:r>
          <w:rPr>
            <w:noProof/>
            <w:webHidden/>
          </w:rPr>
          <w:fldChar w:fldCharType="begin"/>
        </w:r>
        <w:r>
          <w:rPr>
            <w:noProof/>
            <w:webHidden/>
          </w:rPr>
          <w:instrText xml:space="preserve"> PAGEREF _Toc34295942 \h </w:instrText>
        </w:r>
        <w:r>
          <w:rPr>
            <w:noProof/>
            <w:webHidden/>
          </w:rPr>
        </w:r>
        <w:r>
          <w:rPr>
            <w:noProof/>
            <w:webHidden/>
          </w:rPr>
          <w:fldChar w:fldCharType="separate"/>
        </w:r>
        <w:r>
          <w:rPr>
            <w:noProof/>
            <w:webHidden/>
          </w:rPr>
          <w:t>68</w:t>
        </w:r>
        <w:r>
          <w:rPr>
            <w:noProof/>
            <w:webHidden/>
          </w:rPr>
          <w:fldChar w:fldCharType="end"/>
        </w:r>
      </w:hyperlink>
    </w:p>
    <w:p w14:paraId="0D347E3B"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43" w:history="1">
        <w:r w:rsidRPr="00532632">
          <w:rPr>
            <w:rStyle w:val="Hypertextovodkaz"/>
            <w:rFonts w:eastAsiaTheme="majorEastAsia"/>
            <w:noProof/>
          </w:rPr>
          <w:t>4.2</w:t>
        </w:r>
        <w:r>
          <w:rPr>
            <w:rFonts w:asciiTheme="minorHAnsi" w:eastAsiaTheme="minorEastAsia" w:hAnsiTheme="minorHAnsi" w:cstheme="minorBidi"/>
            <w:b w:val="0"/>
            <w:noProof/>
            <w:sz w:val="22"/>
            <w:szCs w:val="22"/>
          </w:rPr>
          <w:tab/>
        </w:r>
        <w:r w:rsidRPr="00532632">
          <w:rPr>
            <w:rStyle w:val="Hypertextovodkaz"/>
            <w:rFonts w:eastAsiaTheme="majorEastAsia"/>
            <w:noProof/>
          </w:rPr>
          <w:t>Stručné vyhodnocení cílů původního NAP CM</w:t>
        </w:r>
        <w:r>
          <w:rPr>
            <w:noProof/>
            <w:webHidden/>
          </w:rPr>
          <w:tab/>
        </w:r>
        <w:r>
          <w:rPr>
            <w:noProof/>
            <w:webHidden/>
          </w:rPr>
          <w:fldChar w:fldCharType="begin"/>
        </w:r>
        <w:r>
          <w:rPr>
            <w:noProof/>
            <w:webHidden/>
          </w:rPr>
          <w:instrText xml:space="preserve"> PAGEREF _Toc34295943 \h </w:instrText>
        </w:r>
        <w:r>
          <w:rPr>
            <w:noProof/>
            <w:webHidden/>
          </w:rPr>
        </w:r>
        <w:r>
          <w:rPr>
            <w:noProof/>
            <w:webHidden/>
          </w:rPr>
          <w:fldChar w:fldCharType="separate"/>
        </w:r>
        <w:r>
          <w:rPr>
            <w:noProof/>
            <w:webHidden/>
          </w:rPr>
          <w:t>68</w:t>
        </w:r>
        <w:r>
          <w:rPr>
            <w:noProof/>
            <w:webHidden/>
          </w:rPr>
          <w:fldChar w:fldCharType="end"/>
        </w:r>
      </w:hyperlink>
    </w:p>
    <w:p w14:paraId="31DB557B"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44" w:history="1">
        <w:r w:rsidRPr="00532632">
          <w:rPr>
            <w:rStyle w:val="Hypertextovodkaz"/>
            <w:rFonts w:eastAsiaTheme="majorEastAsia"/>
            <w:noProof/>
          </w:rPr>
          <w:t>4.3</w:t>
        </w:r>
        <w:r>
          <w:rPr>
            <w:rFonts w:asciiTheme="minorHAnsi" w:eastAsiaTheme="minorEastAsia" w:hAnsiTheme="minorHAnsi" w:cstheme="minorBidi"/>
            <w:b w:val="0"/>
            <w:noProof/>
            <w:sz w:val="22"/>
            <w:szCs w:val="22"/>
          </w:rPr>
          <w:tab/>
        </w:r>
        <w:r w:rsidRPr="00532632">
          <w:rPr>
            <w:rStyle w:val="Hypertextovodkaz"/>
            <w:rFonts w:eastAsiaTheme="majorEastAsia"/>
            <w:noProof/>
          </w:rPr>
          <w:t>Rekapitulace východisek pro rozvoj vodíkové mobility</w:t>
        </w:r>
        <w:r>
          <w:rPr>
            <w:noProof/>
            <w:webHidden/>
          </w:rPr>
          <w:tab/>
        </w:r>
        <w:r>
          <w:rPr>
            <w:noProof/>
            <w:webHidden/>
          </w:rPr>
          <w:fldChar w:fldCharType="begin"/>
        </w:r>
        <w:r>
          <w:rPr>
            <w:noProof/>
            <w:webHidden/>
          </w:rPr>
          <w:instrText xml:space="preserve"> PAGEREF _Toc34295944 \h </w:instrText>
        </w:r>
        <w:r>
          <w:rPr>
            <w:noProof/>
            <w:webHidden/>
          </w:rPr>
        </w:r>
        <w:r>
          <w:rPr>
            <w:noProof/>
            <w:webHidden/>
          </w:rPr>
          <w:fldChar w:fldCharType="separate"/>
        </w:r>
        <w:r>
          <w:rPr>
            <w:noProof/>
            <w:webHidden/>
          </w:rPr>
          <w:t>70</w:t>
        </w:r>
        <w:r>
          <w:rPr>
            <w:noProof/>
            <w:webHidden/>
          </w:rPr>
          <w:fldChar w:fldCharType="end"/>
        </w:r>
      </w:hyperlink>
    </w:p>
    <w:p w14:paraId="466B246D"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45" w:history="1">
        <w:r w:rsidRPr="00532632">
          <w:rPr>
            <w:rStyle w:val="Hypertextovodkaz"/>
            <w:rFonts w:eastAsiaTheme="majorEastAsia"/>
            <w:noProof/>
          </w:rPr>
          <w:t>4.3.1.</w:t>
        </w:r>
        <w:r>
          <w:rPr>
            <w:rFonts w:asciiTheme="minorHAnsi" w:eastAsiaTheme="minorEastAsia" w:hAnsiTheme="minorHAnsi" w:cstheme="minorBidi"/>
            <w:noProof/>
            <w:szCs w:val="22"/>
          </w:rPr>
          <w:tab/>
        </w:r>
        <w:r w:rsidRPr="00532632">
          <w:rPr>
            <w:rStyle w:val="Hypertextovodkaz"/>
            <w:rFonts w:eastAsiaTheme="majorEastAsia"/>
            <w:noProof/>
          </w:rPr>
          <w:t>Důvody zavádění vodíkové mobility</w:t>
        </w:r>
        <w:r>
          <w:rPr>
            <w:noProof/>
            <w:webHidden/>
          </w:rPr>
          <w:tab/>
        </w:r>
        <w:r>
          <w:rPr>
            <w:noProof/>
            <w:webHidden/>
          </w:rPr>
          <w:fldChar w:fldCharType="begin"/>
        </w:r>
        <w:r>
          <w:rPr>
            <w:noProof/>
            <w:webHidden/>
          </w:rPr>
          <w:instrText xml:space="preserve"> PAGEREF _Toc34295945 \h </w:instrText>
        </w:r>
        <w:r>
          <w:rPr>
            <w:noProof/>
            <w:webHidden/>
          </w:rPr>
        </w:r>
        <w:r>
          <w:rPr>
            <w:noProof/>
            <w:webHidden/>
          </w:rPr>
          <w:fldChar w:fldCharType="separate"/>
        </w:r>
        <w:r>
          <w:rPr>
            <w:noProof/>
            <w:webHidden/>
          </w:rPr>
          <w:t>70</w:t>
        </w:r>
        <w:r>
          <w:rPr>
            <w:noProof/>
            <w:webHidden/>
          </w:rPr>
          <w:fldChar w:fldCharType="end"/>
        </w:r>
      </w:hyperlink>
    </w:p>
    <w:p w14:paraId="17615426"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46" w:history="1">
        <w:r w:rsidRPr="00532632">
          <w:rPr>
            <w:rStyle w:val="Hypertextovodkaz"/>
            <w:rFonts w:eastAsiaTheme="majorEastAsia"/>
            <w:noProof/>
          </w:rPr>
          <w:t>4.3.2.</w:t>
        </w:r>
        <w:r>
          <w:rPr>
            <w:rFonts w:asciiTheme="minorHAnsi" w:eastAsiaTheme="minorEastAsia" w:hAnsiTheme="minorHAnsi" w:cstheme="minorBidi"/>
            <w:noProof/>
            <w:szCs w:val="22"/>
          </w:rPr>
          <w:tab/>
        </w:r>
        <w:r w:rsidRPr="00532632">
          <w:rPr>
            <w:rStyle w:val="Hypertextovodkaz"/>
            <w:rFonts w:eastAsiaTheme="majorEastAsia"/>
            <w:noProof/>
          </w:rPr>
          <w:t>Celosvětové současné vývojové trendy v oblasti vodíkové mobility</w:t>
        </w:r>
        <w:r>
          <w:rPr>
            <w:noProof/>
            <w:webHidden/>
          </w:rPr>
          <w:tab/>
        </w:r>
        <w:r>
          <w:rPr>
            <w:noProof/>
            <w:webHidden/>
          </w:rPr>
          <w:fldChar w:fldCharType="begin"/>
        </w:r>
        <w:r>
          <w:rPr>
            <w:noProof/>
            <w:webHidden/>
          </w:rPr>
          <w:instrText xml:space="preserve"> PAGEREF _Toc34295946 \h </w:instrText>
        </w:r>
        <w:r>
          <w:rPr>
            <w:noProof/>
            <w:webHidden/>
          </w:rPr>
        </w:r>
        <w:r>
          <w:rPr>
            <w:noProof/>
            <w:webHidden/>
          </w:rPr>
          <w:fldChar w:fldCharType="separate"/>
        </w:r>
        <w:r>
          <w:rPr>
            <w:noProof/>
            <w:webHidden/>
          </w:rPr>
          <w:t>70</w:t>
        </w:r>
        <w:r>
          <w:rPr>
            <w:noProof/>
            <w:webHidden/>
          </w:rPr>
          <w:fldChar w:fldCharType="end"/>
        </w:r>
      </w:hyperlink>
    </w:p>
    <w:p w14:paraId="0BE5F486"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47" w:history="1">
        <w:r w:rsidRPr="00532632">
          <w:rPr>
            <w:rStyle w:val="Hypertextovodkaz"/>
            <w:rFonts w:eastAsiaTheme="majorEastAsia"/>
            <w:noProof/>
          </w:rPr>
          <w:t>4.3.3.</w:t>
        </w:r>
        <w:r>
          <w:rPr>
            <w:rFonts w:asciiTheme="minorHAnsi" w:eastAsiaTheme="minorEastAsia" w:hAnsiTheme="minorHAnsi" w:cstheme="minorBidi"/>
            <w:noProof/>
            <w:szCs w:val="22"/>
          </w:rPr>
          <w:tab/>
        </w:r>
        <w:r w:rsidRPr="00532632">
          <w:rPr>
            <w:rStyle w:val="Hypertextovodkaz"/>
            <w:rFonts w:eastAsiaTheme="majorEastAsia"/>
            <w:noProof/>
          </w:rPr>
          <w:t>Strategický přístup EU k vodíkové mobilitě</w:t>
        </w:r>
        <w:r>
          <w:rPr>
            <w:noProof/>
            <w:webHidden/>
          </w:rPr>
          <w:tab/>
        </w:r>
        <w:r>
          <w:rPr>
            <w:noProof/>
            <w:webHidden/>
          </w:rPr>
          <w:fldChar w:fldCharType="begin"/>
        </w:r>
        <w:r>
          <w:rPr>
            <w:noProof/>
            <w:webHidden/>
          </w:rPr>
          <w:instrText xml:space="preserve"> PAGEREF _Toc34295947 \h </w:instrText>
        </w:r>
        <w:r>
          <w:rPr>
            <w:noProof/>
            <w:webHidden/>
          </w:rPr>
        </w:r>
        <w:r>
          <w:rPr>
            <w:noProof/>
            <w:webHidden/>
          </w:rPr>
          <w:fldChar w:fldCharType="separate"/>
        </w:r>
        <w:r>
          <w:rPr>
            <w:noProof/>
            <w:webHidden/>
          </w:rPr>
          <w:t>71</w:t>
        </w:r>
        <w:r>
          <w:rPr>
            <w:noProof/>
            <w:webHidden/>
          </w:rPr>
          <w:fldChar w:fldCharType="end"/>
        </w:r>
      </w:hyperlink>
    </w:p>
    <w:p w14:paraId="0FE26D6F"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48" w:history="1">
        <w:r w:rsidRPr="00532632">
          <w:rPr>
            <w:rStyle w:val="Hypertextovodkaz"/>
            <w:rFonts w:eastAsiaTheme="majorEastAsia"/>
            <w:noProof/>
          </w:rPr>
          <w:t>4.3.4.</w:t>
        </w:r>
        <w:r>
          <w:rPr>
            <w:rFonts w:asciiTheme="minorHAnsi" w:eastAsiaTheme="minorEastAsia" w:hAnsiTheme="minorHAnsi" w:cstheme="minorBidi"/>
            <w:noProof/>
            <w:szCs w:val="22"/>
          </w:rPr>
          <w:tab/>
        </w:r>
        <w:r w:rsidRPr="00532632">
          <w:rPr>
            <w:rStyle w:val="Hypertextovodkaz"/>
            <w:rFonts w:eastAsiaTheme="majorEastAsia"/>
            <w:noProof/>
          </w:rPr>
          <w:t>Strategické plány/vize a podpora vodíkové mobility v jiných členských státech EU</w:t>
        </w:r>
        <w:r>
          <w:rPr>
            <w:noProof/>
            <w:webHidden/>
          </w:rPr>
          <w:tab/>
        </w:r>
        <w:r>
          <w:rPr>
            <w:noProof/>
            <w:webHidden/>
          </w:rPr>
          <w:fldChar w:fldCharType="begin"/>
        </w:r>
        <w:r>
          <w:rPr>
            <w:noProof/>
            <w:webHidden/>
          </w:rPr>
          <w:instrText xml:space="preserve"> PAGEREF _Toc34295948 \h </w:instrText>
        </w:r>
        <w:r>
          <w:rPr>
            <w:noProof/>
            <w:webHidden/>
          </w:rPr>
        </w:r>
        <w:r>
          <w:rPr>
            <w:noProof/>
            <w:webHidden/>
          </w:rPr>
          <w:fldChar w:fldCharType="separate"/>
        </w:r>
        <w:r>
          <w:rPr>
            <w:noProof/>
            <w:webHidden/>
          </w:rPr>
          <w:t>73</w:t>
        </w:r>
        <w:r>
          <w:rPr>
            <w:noProof/>
            <w:webHidden/>
          </w:rPr>
          <w:fldChar w:fldCharType="end"/>
        </w:r>
      </w:hyperlink>
    </w:p>
    <w:p w14:paraId="7C8CEA00"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49" w:history="1">
        <w:r w:rsidRPr="00532632">
          <w:rPr>
            <w:rStyle w:val="Hypertextovodkaz"/>
            <w:rFonts w:eastAsiaTheme="majorEastAsia"/>
            <w:noProof/>
          </w:rPr>
          <w:t>4.3.5.</w:t>
        </w:r>
        <w:r>
          <w:rPr>
            <w:rFonts w:asciiTheme="minorHAnsi" w:eastAsiaTheme="minorEastAsia" w:hAnsiTheme="minorHAnsi" w:cstheme="minorBidi"/>
            <w:noProof/>
            <w:szCs w:val="22"/>
          </w:rPr>
          <w:tab/>
        </w:r>
        <w:r w:rsidRPr="00532632">
          <w:rPr>
            <w:rStyle w:val="Hypertextovodkaz"/>
            <w:rFonts w:eastAsiaTheme="majorEastAsia"/>
            <w:noProof/>
          </w:rPr>
          <w:t>Strategická doporučení vyplývají ze studie Využití vodíkového pohonu v dopravě v České republice</w:t>
        </w:r>
        <w:r>
          <w:rPr>
            <w:noProof/>
            <w:webHidden/>
          </w:rPr>
          <w:tab/>
        </w:r>
        <w:r>
          <w:rPr>
            <w:noProof/>
            <w:webHidden/>
          </w:rPr>
          <w:fldChar w:fldCharType="begin"/>
        </w:r>
        <w:r>
          <w:rPr>
            <w:noProof/>
            <w:webHidden/>
          </w:rPr>
          <w:instrText xml:space="preserve"> PAGEREF _Toc34295949 \h </w:instrText>
        </w:r>
        <w:r>
          <w:rPr>
            <w:noProof/>
            <w:webHidden/>
          </w:rPr>
        </w:r>
        <w:r>
          <w:rPr>
            <w:noProof/>
            <w:webHidden/>
          </w:rPr>
          <w:fldChar w:fldCharType="separate"/>
        </w:r>
        <w:r>
          <w:rPr>
            <w:noProof/>
            <w:webHidden/>
          </w:rPr>
          <w:t>74</w:t>
        </w:r>
        <w:r>
          <w:rPr>
            <w:noProof/>
            <w:webHidden/>
          </w:rPr>
          <w:fldChar w:fldCharType="end"/>
        </w:r>
      </w:hyperlink>
    </w:p>
    <w:p w14:paraId="44FA086C"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50" w:history="1">
        <w:r w:rsidRPr="00532632">
          <w:rPr>
            <w:rStyle w:val="Hypertextovodkaz"/>
            <w:rFonts w:eastAsiaTheme="majorEastAsia"/>
            <w:noProof/>
          </w:rPr>
          <w:t>4.3.6.</w:t>
        </w:r>
        <w:r>
          <w:rPr>
            <w:rFonts w:asciiTheme="minorHAnsi" w:eastAsiaTheme="minorEastAsia" w:hAnsiTheme="minorHAnsi" w:cstheme="minorBidi"/>
            <w:noProof/>
            <w:szCs w:val="22"/>
          </w:rPr>
          <w:tab/>
        </w:r>
        <w:r w:rsidRPr="00532632">
          <w:rPr>
            <w:rStyle w:val="Hypertextovodkaz"/>
            <w:rFonts w:eastAsiaTheme="majorEastAsia"/>
            <w:noProof/>
          </w:rPr>
          <w:t>Zhodnocení potenciálu využití vodíku z hlediska snížení emisí CO</w:t>
        </w:r>
        <w:r w:rsidRPr="00532632">
          <w:rPr>
            <w:rStyle w:val="Hypertextovodkaz"/>
            <w:rFonts w:eastAsiaTheme="majorEastAsia"/>
            <w:noProof/>
            <w:vertAlign w:val="subscript"/>
          </w:rPr>
          <w:t xml:space="preserve">2 </w:t>
        </w:r>
        <w:r w:rsidRPr="00532632">
          <w:rPr>
            <w:rStyle w:val="Hypertextovodkaz"/>
            <w:rFonts w:eastAsiaTheme="majorEastAsia"/>
            <w:noProof/>
          </w:rPr>
          <w:t>v dopravě v ČR</w:t>
        </w:r>
        <w:r>
          <w:rPr>
            <w:noProof/>
            <w:webHidden/>
          </w:rPr>
          <w:tab/>
        </w:r>
        <w:r>
          <w:rPr>
            <w:noProof/>
            <w:webHidden/>
          </w:rPr>
          <w:fldChar w:fldCharType="begin"/>
        </w:r>
        <w:r>
          <w:rPr>
            <w:noProof/>
            <w:webHidden/>
          </w:rPr>
          <w:instrText xml:space="preserve"> PAGEREF _Toc34295950 \h </w:instrText>
        </w:r>
        <w:r>
          <w:rPr>
            <w:noProof/>
            <w:webHidden/>
          </w:rPr>
        </w:r>
        <w:r>
          <w:rPr>
            <w:noProof/>
            <w:webHidden/>
          </w:rPr>
          <w:fldChar w:fldCharType="separate"/>
        </w:r>
        <w:r>
          <w:rPr>
            <w:noProof/>
            <w:webHidden/>
          </w:rPr>
          <w:t>75</w:t>
        </w:r>
        <w:r>
          <w:rPr>
            <w:noProof/>
            <w:webHidden/>
          </w:rPr>
          <w:fldChar w:fldCharType="end"/>
        </w:r>
      </w:hyperlink>
    </w:p>
    <w:p w14:paraId="4721EBFA"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51" w:history="1">
        <w:r w:rsidRPr="00532632">
          <w:rPr>
            <w:rStyle w:val="Hypertextovodkaz"/>
            <w:rFonts w:eastAsiaTheme="majorEastAsia"/>
            <w:noProof/>
          </w:rPr>
          <w:t>4.4</w:t>
        </w:r>
        <w:r>
          <w:rPr>
            <w:rFonts w:asciiTheme="minorHAnsi" w:eastAsiaTheme="minorEastAsia" w:hAnsiTheme="minorHAnsi" w:cstheme="minorBidi"/>
            <w:b w:val="0"/>
            <w:noProof/>
            <w:sz w:val="22"/>
            <w:szCs w:val="22"/>
          </w:rPr>
          <w:tab/>
        </w:r>
        <w:r w:rsidRPr="00532632">
          <w:rPr>
            <w:rStyle w:val="Hypertextovodkaz"/>
            <w:rFonts w:eastAsiaTheme="majorEastAsia"/>
            <w:noProof/>
          </w:rPr>
          <w:t>Očekávaný budoucí vývoj v oblasti vodíkové mobility (2030)</w:t>
        </w:r>
        <w:r>
          <w:rPr>
            <w:noProof/>
            <w:webHidden/>
          </w:rPr>
          <w:tab/>
        </w:r>
        <w:r>
          <w:rPr>
            <w:noProof/>
            <w:webHidden/>
          </w:rPr>
          <w:fldChar w:fldCharType="begin"/>
        </w:r>
        <w:r>
          <w:rPr>
            <w:noProof/>
            <w:webHidden/>
          </w:rPr>
          <w:instrText xml:space="preserve"> PAGEREF _Toc34295951 \h </w:instrText>
        </w:r>
        <w:r>
          <w:rPr>
            <w:noProof/>
            <w:webHidden/>
          </w:rPr>
        </w:r>
        <w:r>
          <w:rPr>
            <w:noProof/>
            <w:webHidden/>
          </w:rPr>
          <w:fldChar w:fldCharType="separate"/>
        </w:r>
        <w:r>
          <w:rPr>
            <w:noProof/>
            <w:webHidden/>
          </w:rPr>
          <w:t>76</w:t>
        </w:r>
        <w:r>
          <w:rPr>
            <w:noProof/>
            <w:webHidden/>
          </w:rPr>
          <w:fldChar w:fldCharType="end"/>
        </w:r>
      </w:hyperlink>
    </w:p>
    <w:p w14:paraId="7B66C05D"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52" w:history="1">
        <w:r w:rsidRPr="00532632">
          <w:rPr>
            <w:rStyle w:val="Hypertextovodkaz"/>
            <w:rFonts w:eastAsiaTheme="majorEastAsia"/>
            <w:noProof/>
          </w:rPr>
          <w:t>4.4.1.</w:t>
        </w:r>
        <w:r>
          <w:rPr>
            <w:rFonts w:asciiTheme="minorHAnsi" w:eastAsiaTheme="minorEastAsia" w:hAnsiTheme="minorHAnsi" w:cstheme="minorBidi"/>
            <w:noProof/>
            <w:szCs w:val="22"/>
          </w:rPr>
          <w:tab/>
        </w:r>
        <w:r w:rsidRPr="00532632">
          <w:rPr>
            <w:rStyle w:val="Hypertextovodkaz"/>
            <w:rFonts w:eastAsiaTheme="majorEastAsia"/>
            <w:noProof/>
          </w:rPr>
          <w:t>Projekce počtu vodíkových vozidel/vodíkových stanic</w:t>
        </w:r>
        <w:r>
          <w:rPr>
            <w:noProof/>
            <w:webHidden/>
          </w:rPr>
          <w:tab/>
        </w:r>
        <w:r>
          <w:rPr>
            <w:noProof/>
            <w:webHidden/>
          </w:rPr>
          <w:fldChar w:fldCharType="begin"/>
        </w:r>
        <w:r>
          <w:rPr>
            <w:noProof/>
            <w:webHidden/>
          </w:rPr>
          <w:instrText xml:space="preserve"> PAGEREF _Toc34295952 \h </w:instrText>
        </w:r>
        <w:r>
          <w:rPr>
            <w:noProof/>
            <w:webHidden/>
          </w:rPr>
        </w:r>
        <w:r>
          <w:rPr>
            <w:noProof/>
            <w:webHidden/>
          </w:rPr>
          <w:fldChar w:fldCharType="separate"/>
        </w:r>
        <w:r>
          <w:rPr>
            <w:noProof/>
            <w:webHidden/>
          </w:rPr>
          <w:t>76</w:t>
        </w:r>
        <w:r>
          <w:rPr>
            <w:noProof/>
            <w:webHidden/>
          </w:rPr>
          <w:fldChar w:fldCharType="end"/>
        </w:r>
      </w:hyperlink>
    </w:p>
    <w:p w14:paraId="2FEEBB3A"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53" w:history="1">
        <w:r w:rsidRPr="00532632">
          <w:rPr>
            <w:rStyle w:val="Hypertextovodkaz"/>
            <w:rFonts w:eastAsiaTheme="majorEastAsia"/>
            <w:noProof/>
          </w:rPr>
          <w:t>4.4.2.</w:t>
        </w:r>
        <w:r>
          <w:rPr>
            <w:rFonts w:asciiTheme="minorHAnsi" w:eastAsiaTheme="minorEastAsia" w:hAnsiTheme="minorHAnsi" w:cstheme="minorBidi"/>
            <w:noProof/>
            <w:szCs w:val="22"/>
          </w:rPr>
          <w:tab/>
        </w:r>
        <w:r w:rsidRPr="00532632">
          <w:rPr>
            <w:rStyle w:val="Hypertextovodkaz"/>
            <w:rFonts w:eastAsiaTheme="majorEastAsia"/>
            <w:noProof/>
          </w:rPr>
          <w:t>Očekávaný rámec financování rozvoje vodíkové mobility po roce 2020</w:t>
        </w:r>
        <w:r>
          <w:rPr>
            <w:noProof/>
            <w:webHidden/>
          </w:rPr>
          <w:tab/>
        </w:r>
        <w:r>
          <w:rPr>
            <w:noProof/>
            <w:webHidden/>
          </w:rPr>
          <w:fldChar w:fldCharType="begin"/>
        </w:r>
        <w:r>
          <w:rPr>
            <w:noProof/>
            <w:webHidden/>
          </w:rPr>
          <w:instrText xml:space="preserve"> PAGEREF _Toc34295953 \h </w:instrText>
        </w:r>
        <w:r>
          <w:rPr>
            <w:noProof/>
            <w:webHidden/>
          </w:rPr>
        </w:r>
        <w:r>
          <w:rPr>
            <w:noProof/>
            <w:webHidden/>
          </w:rPr>
          <w:fldChar w:fldCharType="separate"/>
        </w:r>
        <w:r>
          <w:rPr>
            <w:noProof/>
            <w:webHidden/>
          </w:rPr>
          <w:t>77</w:t>
        </w:r>
        <w:r>
          <w:rPr>
            <w:noProof/>
            <w:webHidden/>
          </w:rPr>
          <w:fldChar w:fldCharType="end"/>
        </w:r>
      </w:hyperlink>
    </w:p>
    <w:p w14:paraId="74917B41"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54" w:history="1">
        <w:r w:rsidRPr="00532632">
          <w:rPr>
            <w:rStyle w:val="Hypertextovodkaz"/>
            <w:rFonts w:eastAsiaTheme="majorEastAsia"/>
            <w:noProof/>
          </w:rPr>
          <w:t>4.4.3.</w:t>
        </w:r>
        <w:r>
          <w:rPr>
            <w:rFonts w:asciiTheme="minorHAnsi" w:eastAsiaTheme="minorEastAsia" w:hAnsiTheme="minorHAnsi" w:cstheme="minorBidi"/>
            <w:noProof/>
            <w:szCs w:val="22"/>
          </w:rPr>
          <w:tab/>
        </w:r>
        <w:r w:rsidRPr="00532632">
          <w:rPr>
            <w:rStyle w:val="Hypertextovodkaz"/>
            <w:rFonts w:eastAsiaTheme="majorEastAsia"/>
            <w:noProof/>
          </w:rPr>
          <w:t>Dlouhodobé výzvy v oblasti vodíkové mobility (silniční nákladní vozidla, železniční doprava)</w:t>
        </w:r>
        <w:r>
          <w:rPr>
            <w:noProof/>
            <w:webHidden/>
          </w:rPr>
          <w:tab/>
        </w:r>
        <w:r>
          <w:rPr>
            <w:noProof/>
            <w:webHidden/>
          </w:rPr>
          <w:fldChar w:fldCharType="begin"/>
        </w:r>
        <w:r>
          <w:rPr>
            <w:noProof/>
            <w:webHidden/>
          </w:rPr>
          <w:instrText xml:space="preserve"> PAGEREF _Toc34295954 \h </w:instrText>
        </w:r>
        <w:r>
          <w:rPr>
            <w:noProof/>
            <w:webHidden/>
          </w:rPr>
        </w:r>
        <w:r>
          <w:rPr>
            <w:noProof/>
            <w:webHidden/>
          </w:rPr>
          <w:fldChar w:fldCharType="separate"/>
        </w:r>
        <w:r>
          <w:rPr>
            <w:noProof/>
            <w:webHidden/>
          </w:rPr>
          <w:t>77</w:t>
        </w:r>
        <w:r>
          <w:rPr>
            <w:noProof/>
            <w:webHidden/>
          </w:rPr>
          <w:fldChar w:fldCharType="end"/>
        </w:r>
      </w:hyperlink>
    </w:p>
    <w:p w14:paraId="0C326EFE" w14:textId="77777777" w:rsidR="00276F69" w:rsidRDefault="00276F69">
      <w:pPr>
        <w:pStyle w:val="Obsah1"/>
        <w:rPr>
          <w:rFonts w:asciiTheme="minorHAnsi" w:eastAsiaTheme="minorEastAsia" w:hAnsiTheme="minorHAnsi" w:cstheme="minorBidi"/>
          <w:b w:val="0"/>
          <w:sz w:val="22"/>
          <w:szCs w:val="22"/>
        </w:rPr>
      </w:pPr>
      <w:hyperlink w:anchor="_Toc34295955" w:history="1">
        <w:r w:rsidRPr="00532632">
          <w:rPr>
            <w:rStyle w:val="Hypertextovodkaz"/>
          </w:rPr>
          <w:t>5.</w:t>
        </w:r>
        <w:r>
          <w:rPr>
            <w:rFonts w:asciiTheme="minorHAnsi" w:eastAsiaTheme="minorEastAsia" w:hAnsiTheme="minorHAnsi" w:cstheme="minorBidi"/>
            <w:b w:val="0"/>
            <w:sz w:val="22"/>
            <w:szCs w:val="22"/>
          </w:rPr>
          <w:tab/>
        </w:r>
        <w:r w:rsidRPr="00532632">
          <w:rPr>
            <w:rStyle w:val="Hypertextovodkaz"/>
            <w:iCs/>
          </w:rPr>
          <w:t>Analytický materiál - další alternativní paliva</w:t>
        </w:r>
        <w:r>
          <w:rPr>
            <w:webHidden/>
          </w:rPr>
          <w:tab/>
        </w:r>
        <w:r>
          <w:rPr>
            <w:webHidden/>
          </w:rPr>
          <w:fldChar w:fldCharType="begin"/>
        </w:r>
        <w:r>
          <w:rPr>
            <w:webHidden/>
          </w:rPr>
          <w:instrText xml:space="preserve"> PAGEREF _Toc34295955 \h </w:instrText>
        </w:r>
        <w:r>
          <w:rPr>
            <w:webHidden/>
          </w:rPr>
        </w:r>
        <w:r>
          <w:rPr>
            <w:webHidden/>
          </w:rPr>
          <w:fldChar w:fldCharType="separate"/>
        </w:r>
        <w:r>
          <w:rPr>
            <w:webHidden/>
          </w:rPr>
          <w:t>79</w:t>
        </w:r>
        <w:r>
          <w:rPr>
            <w:webHidden/>
          </w:rPr>
          <w:fldChar w:fldCharType="end"/>
        </w:r>
      </w:hyperlink>
    </w:p>
    <w:p w14:paraId="05D8BBDA"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56" w:history="1">
        <w:r w:rsidRPr="00532632">
          <w:rPr>
            <w:rStyle w:val="Hypertextovodkaz"/>
            <w:rFonts w:eastAsiaTheme="majorEastAsia"/>
            <w:noProof/>
          </w:rPr>
          <w:t>5.1</w:t>
        </w:r>
        <w:r>
          <w:rPr>
            <w:rFonts w:asciiTheme="minorHAnsi" w:eastAsiaTheme="minorEastAsia" w:hAnsiTheme="minorHAnsi" w:cstheme="minorBidi"/>
            <w:b w:val="0"/>
            <w:noProof/>
            <w:sz w:val="22"/>
            <w:szCs w:val="22"/>
          </w:rPr>
          <w:tab/>
        </w:r>
        <w:r w:rsidRPr="00532632">
          <w:rPr>
            <w:rStyle w:val="Hypertextovodkaz"/>
            <w:rFonts w:eastAsiaTheme="majorEastAsia"/>
            <w:noProof/>
          </w:rPr>
          <w:t>LPG / bio LPG</w:t>
        </w:r>
        <w:r>
          <w:rPr>
            <w:noProof/>
            <w:webHidden/>
          </w:rPr>
          <w:tab/>
        </w:r>
        <w:r>
          <w:rPr>
            <w:noProof/>
            <w:webHidden/>
          </w:rPr>
          <w:fldChar w:fldCharType="begin"/>
        </w:r>
        <w:r>
          <w:rPr>
            <w:noProof/>
            <w:webHidden/>
          </w:rPr>
          <w:instrText xml:space="preserve"> PAGEREF _Toc34295956 \h </w:instrText>
        </w:r>
        <w:r>
          <w:rPr>
            <w:noProof/>
            <w:webHidden/>
          </w:rPr>
        </w:r>
        <w:r>
          <w:rPr>
            <w:noProof/>
            <w:webHidden/>
          </w:rPr>
          <w:fldChar w:fldCharType="separate"/>
        </w:r>
        <w:r>
          <w:rPr>
            <w:noProof/>
            <w:webHidden/>
          </w:rPr>
          <w:t>79</w:t>
        </w:r>
        <w:r>
          <w:rPr>
            <w:noProof/>
            <w:webHidden/>
          </w:rPr>
          <w:fldChar w:fldCharType="end"/>
        </w:r>
      </w:hyperlink>
    </w:p>
    <w:p w14:paraId="66AB48CC"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57" w:history="1">
        <w:r w:rsidRPr="00532632">
          <w:rPr>
            <w:rStyle w:val="Hypertextovodkaz"/>
            <w:rFonts w:eastAsiaTheme="majorEastAsia"/>
            <w:noProof/>
          </w:rPr>
          <w:t>5.1.1.</w:t>
        </w:r>
        <w:r>
          <w:rPr>
            <w:rFonts w:asciiTheme="minorHAnsi" w:eastAsiaTheme="minorEastAsia" w:hAnsiTheme="minorHAnsi" w:cstheme="minorBidi"/>
            <w:noProof/>
            <w:szCs w:val="22"/>
          </w:rPr>
          <w:tab/>
        </w:r>
        <w:r w:rsidRPr="00532632">
          <w:rPr>
            <w:rStyle w:val="Hypertextovodkaz"/>
            <w:rFonts w:eastAsiaTheme="majorEastAsia"/>
            <w:noProof/>
          </w:rPr>
          <w:t>Popis současného stavu a predikce vývoje</w:t>
        </w:r>
        <w:r>
          <w:rPr>
            <w:noProof/>
            <w:webHidden/>
          </w:rPr>
          <w:tab/>
        </w:r>
        <w:r>
          <w:rPr>
            <w:noProof/>
            <w:webHidden/>
          </w:rPr>
          <w:fldChar w:fldCharType="begin"/>
        </w:r>
        <w:r>
          <w:rPr>
            <w:noProof/>
            <w:webHidden/>
          </w:rPr>
          <w:instrText xml:space="preserve"> PAGEREF _Toc34295957 \h </w:instrText>
        </w:r>
        <w:r>
          <w:rPr>
            <w:noProof/>
            <w:webHidden/>
          </w:rPr>
        </w:r>
        <w:r>
          <w:rPr>
            <w:noProof/>
            <w:webHidden/>
          </w:rPr>
          <w:fldChar w:fldCharType="separate"/>
        </w:r>
        <w:r>
          <w:rPr>
            <w:noProof/>
            <w:webHidden/>
          </w:rPr>
          <w:t>79</w:t>
        </w:r>
        <w:r>
          <w:rPr>
            <w:noProof/>
            <w:webHidden/>
          </w:rPr>
          <w:fldChar w:fldCharType="end"/>
        </w:r>
      </w:hyperlink>
    </w:p>
    <w:p w14:paraId="5414B990"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58" w:history="1">
        <w:r w:rsidRPr="00532632">
          <w:rPr>
            <w:rStyle w:val="Hypertextovodkaz"/>
            <w:rFonts w:eastAsiaTheme="majorEastAsia"/>
            <w:noProof/>
          </w:rPr>
          <w:t>5.1.1.1</w:t>
        </w:r>
        <w:r>
          <w:rPr>
            <w:rFonts w:asciiTheme="minorHAnsi" w:eastAsiaTheme="minorEastAsia" w:hAnsiTheme="minorHAnsi" w:cstheme="minorBidi"/>
            <w:noProof/>
            <w:szCs w:val="22"/>
          </w:rPr>
          <w:tab/>
        </w:r>
        <w:r w:rsidRPr="00532632">
          <w:rPr>
            <w:rStyle w:val="Hypertextovodkaz"/>
            <w:rFonts w:eastAsiaTheme="majorEastAsia"/>
            <w:noProof/>
          </w:rPr>
          <w:t>Scénáře pro vozový park</w:t>
        </w:r>
        <w:r>
          <w:rPr>
            <w:noProof/>
            <w:webHidden/>
          </w:rPr>
          <w:tab/>
        </w:r>
        <w:r>
          <w:rPr>
            <w:noProof/>
            <w:webHidden/>
          </w:rPr>
          <w:fldChar w:fldCharType="begin"/>
        </w:r>
        <w:r>
          <w:rPr>
            <w:noProof/>
            <w:webHidden/>
          </w:rPr>
          <w:instrText xml:space="preserve"> PAGEREF _Toc34295958 \h </w:instrText>
        </w:r>
        <w:r>
          <w:rPr>
            <w:noProof/>
            <w:webHidden/>
          </w:rPr>
        </w:r>
        <w:r>
          <w:rPr>
            <w:noProof/>
            <w:webHidden/>
          </w:rPr>
          <w:fldChar w:fldCharType="separate"/>
        </w:r>
        <w:r>
          <w:rPr>
            <w:noProof/>
            <w:webHidden/>
          </w:rPr>
          <w:t>79</w:t>
        </w:r>
        <w:r>
          <w:rPr>
            <w:noProof/>
            <w:webHidden/>
          </w:rPr>
          <w:fldChar w:fldCharType="end"/>
        </w:r>
      </w:hyperlink>
    </w:p>
    <w:p w14:paraId="3A1FA207"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59" w:history="1">
        <w:r w:rsidRPr="00532632">
          <w:rPr>
            <w:rStyle w:val="Hypertextovodkaz"/>
            <w:rFonts w:eastAsiaTheme="majorEastAsia"/>
            <w:noProof/>
          </w:rPr>
          <w:t>5.1.1.2</w:t>
        </w:r>
        <w:r>
          <w:rPr>
            <w:rFonts w:asciiTheme="minorHAnsi" w:eastAsiaTheme="minorEastAsia" w:hAnsiTheme="minorHAnsi" w:cstheme="minorBidi"/>
            <w:noProof/>
            <w:szCs w:val="22"/>
          </w:rPr>
          <w:tab/>
        </w:r>
        <w:r w:rsidRPr="00532632">
          <w:rPr>
            <w:rStyle w:val="Hypertextovodkaz"/>
            <w:rFonts w:eastAsiaTheme="majorEastAsia"/>
            <w:noProof/>
          </w:rPr>
          <w:t>Podmínky výroby a predikce vývoje užití bioLPG</w:t>
        </w:r>
        <w:r>
          <w:rPr>
            <w:noProof/>
            <w:webHidden/>
          </w:rPr>
          <w:tab/>
        </w:r>
        <w:r>
          <w:rPr>
            <w:noProof/>
            <w:webHidden/>
          </w:rPr>
          <w:fldChar w:fldCharType="begin"/>
        </w:r>
        <w:r>
          <w:rPr>
            <w:noProof/>
            <w:webHidden/>
          </w:rPr>
          <w:instrText xml:space="preserve"> PAGEREF _Toc34295959 \h </w:instrText>
        </w:r>
        <w:r>
          <w:rPr>
            <w:noProof/>
            <w:webHidden/>
          </w:rPr>
        </w:r>
        <w:r>
          <w:rPr>
            <w:noProof/>
            <w:webHidden/>
          </w:rPr>
          <w:fldChar w:fldCharType="separate"/>
        </w:r>
        <w:r>
          <w:rPr>
            <w:noProof/>
            <w:webHidden/>
          </w:rPr>
          <w:t>80</w:t>
        </w:r>
        <w:r>
          <w:rPr>
            <w:noProof/>
            <w:webHidden/>
          </w:rPr>
          <w:fldChar w:fldCharType="end"/>
        </w:r>
      </w:hyperlink>
    </w:p>
    <w:p w14:paraId="6A97C2C7" w14:textId="77777777" w:rsidR="00276F69" w:rsidRDefault="00276F69">
      <w:pPr>
        <w:pStyle w:val="Obsah4"/>
        <w:tabs>
          <w:tab w:val="left" w:pos="1760"/>
          <w:tab w:val="right" w:leader="dot" w:pos="9628"/>
        </w:tabs>
        <w:rPr>
          <w:rFonts w:asciiTheme="minorHAnsi" w:eastAsiaTheme="minorEastAsia" w:hAnsiTheme="minorHAnsi" w:cstheme="minorBidi"/>
          <w:noProof/>
          <w:szCs w:val="22"/>
        </w:rPr>
      </w:pPr>
      <w:hyperlink w:anchor="_Toc34295960" w:history="1">
        <w:r w:rsidRPr="00532632">
          <w:rPr>
            <w:rStyle w:val="Hypertextovodkaz"/>
            <w:rFonts w:eastAsiaTheme="majorEastAsia"/>
            <w:noProof/>
          </w:rPr>
          <w:t>5.1.1.3</w:t>
        </w:r>
        <w:r>
          <w:rPr>
            <w:rFonts w:asciiTheme="minorHAnsi" w:eastAsiaTheme="minorEastAsia" w:hAnsiTheme="minorHAnsi" w:cstheme="minorBidi"/>
            <w:noProof/>
            <w:szCs w:val="22"/>
          </w:rPr>
          <w:tab/>
        </w:r>
        <w:r w:rsidRPr="00532632">
          <w:rPr>
            <w:rStyle w:val="Hypertextovodkaz"/>
            <w:rFonts w:eastAsiaTheme="majorEastAsia"/>
            <w:noProof/>
          </w:rPr>
          <w:t>Predikce výrobců a distributorů vozidel na trhu ČR</w:t>
        </w:r>
        <w:r>
          <w:rPr>
            <w:noProof/>
            <w:webHidden/>
          </w:rPr>
          <w:tab/>
        </w:r>
        <w:r>
          <w:rPr>
            <w:noProof/>
            <w:webHidden/>
          </w:rPr>
          <w:fldChar w:fldCharType="begin"/>
        </w:r>
        <w:r>
          <w:rPr>
            <w:noProof/>
            <w:webHidden/>
          </w:rPr>
          <w:instrText xml:space="preserve"> PAGEREF _Toc34295960 \h </w:instrText>
        </w:r>
        <w:r>
          <w:rPr>
            <w:noProof/>
            <w:webHidden/>
          </w:rPr>
        </w:r>
        <w:r>
          <w:rPr>
            <w:noProof/>
            <w:webHidden/>
          </w:rPr>
          <w:fldChar w:fldCharType="separate"/>
        </w:r>
        <w:r>
          <w:rPr>
            <w:noProof/>
            <w:webHidden/>
          </w:rPr>
          <w:t>80</w:t>
        </w:r>
        <w:r>
          <w:rPr>
            <w:noProof/>
            <w:webHidden/>
          </w:rPr>
          <w:fldChar w:fldCharType="end"/>
        </w:r>
      </w:hyperlink>
    </w:p>
    <w:p w14:paraId="5B183D22"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61" w:history="1">
        <w:r w:rsidRPr="00532632">
          <w:rPr>
            <w:rStyle w:val="Hypertextovodkaz"/>
            <w:rFonts w:eastAsiaTheme="majorEastAsia"/>
            <w:noProof/>
          </w:rPr>
          <w:t>5.1.2.</w:t>
        </w:r>
        <w:r>
          <w:rPr>
            <w:rFonts w:asciiTheme="minorHAnsi" w:eastAsiaTheme="minorEastAsia" w:hAnsiTheme="minorHAnsi" w:cstheme="minorBidi"/>
            <w:noProof/>
            <w:szCs w:val="22"/>
          </w:rPr>
          <w:tab/>
        </w:r>
        <w:r w:rsidRPr="00532632">
          <w:rPr>
            <w:rStyle w:val="Hypertextovodkaz"/>
            <w:rFonts w:eastAsiaTheme="majorEastAsia"/>
            <w:noProof/>
          </w:rPr>
          <w:t>Popis bariér a omezujících faktorů, které brání naplnění predikce</w:t>
        </w:r>
        <w:r>
          <w:rPr>
            <w:noProof/>
            <w:webHidden/>
          </w:rPr>
          <w:tab/>
        </w:r>
        <w:r>
          <w:rPr>
            <w:noProof/>
            <w:webHidden/>
          </w:rPr>
          <w:fldChar w:fldCharType="begin"/>
        </w:r>
        <w:r>
          <w:rPr>
            <w:noProof/>
            <w:webHidden/>
          </w:rPr>
          <w:instrText xml:space="preserve"> PAGEREF _Toc34295961 \h </w:instrText>
        </w:r>
        <w:r>
          <w:rPr>
            <w:noProof/>
            <w:webHidden/>
          </w:rPr>
        </w:r>
        <w:r>
          <w:rPr>
            <w:noProof/>
            <w:webHidden/>
          </w:rPr>
          <w:fldChar w:fldCharType="separate"/>
        </w:r>
        <w:r>
          <w:rPr>
            <w:noProof/>
            <w:webHidden/>
          </w:rPr>
          <w:t>82</w:t>
        </w:r>
        <w:r>
          <w:rPr>
            <w:noProof/>
            <w:webHidden/>
          </w:rPr>
          <w:fldChar w:fldCharType="end"/>
        </w:r>
      </w:hyperlink>
    </w:p>
    <w:p w14:paraId="4BEE3052" w14:textId="77777777" w:rsidR="00276F69" w:rsidRDefault="00276F69">
      <w:pPr>
        <w:pStyle w:val="Obsah3"/>
        <w:tabs>
          <w:tab w:val="left" w:pos="1320"/>
          <w:tab w:val="right" w:leader="dot" w:pos="9628"/>
        </w:tabs>
        <w:rPr>
          <w:rFonts w:asciiTheme="minorHAnsi" w:eastAsiaTheme="minorEastAsia" w:hAnsiTheme="minorHAnsi" w:cstheme="minorBidi"/>
          <w:noProof/>
          <w:szCs w:val="22"/>
        </w:rPr>
      </w:pPr>
      <w:hyperlink w:anchor="_Toc34295962" w:history="1">
        <w:r w:rsidRPr="00532632">
          <w:rPr>
            <w:rStyle w:val="Hypertextovodkaz"/>
            <w:rFonts w:eastAsiaTheme="majorEastAsia"/>
            <w:noProof/>
          </w:rPr>
          <w:t>5.1.3.</w:t>
        </w:r>
        <w:r>
          <w:rPr>
            <w:rFonts w:asciiTheme="minorHAnsi" w:eastAsiaTheme="minorEastAsia" w:hAnsiTheme="minorHAnsi" w:cstheme="minorBidi"/>
            <w:noProof/>
            <w:szCs w:val="22"/>
          </w:rPr>
          <w:tab/>
        </w:r>
        <w:r w:rsidRPr="00532632">
          <w:rPr>
            <w:rStyle w:val="Hypertextovodkaz"/>
            <w:rFonts w:eastAsiaTheme="majorEastAsia"/>
            <w:noProof/>
          </w:rPr>
          <w:t>Financování mobility v oblasti LPG</w:t>
        </w:r>
        <w:r>
          <w:rPr>
            <w:noProof/>
            <w:webHidden/>
          </w:rPr>
          <w:tab/>
        </w:r>
        <w:r>
          <w:rPr>
            <w:noProof/>
            <w:webHidden/>
          </w:rPr>
          <w:fldChar w:fldCharType="begin"/>
        </w:r>
        <w:r>
          <w:rPr>
            <w:noProof/>
            <w:webHidden/>
          </w:rPr>
          <w:instrText xml:space="preserve"> PAGEREF _Toc34295962 \h </w:instrText>
        </w:r>
        <w:r>
          <w:rPr>
            <w:noProof/>
            <w:webHidden/>
          </w:rPr>
        </w:r>
        <w:r>
          <w:rPr>
            <w:noProof/>
            <w:webHidden/>
          </w:rPr>
          <w:fldChar w:fldCharType="separate"/>
        </w:r>
        <w:r>
          <w:rPr>
            <w:noProof/>
            <w:webHidden/>
          </w:rPr>
          <w:t>82</w:t>
        </w:r>
        <w:r>
          <w:rPr>
            <w:noProof/>
            <w:webHidden/>
          </w:rPr>
          <w:fldChar w:fldCharType="end"/>
        </w:r>
      </w:hyperlink>
    </w:p>
    <w:p w14:paraId="0BC09402"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63" w:history="1">
        <w:r w:rsidRPr="00532632">
          <w:rPr>
            <w:rStyle w:val="Hypertextovodkaz"/>
            <w:rFonts w:eastAsiaTheme="majorEastAsia"/>
            <w:noProof/>
          </w:rPr>
          <w:t>5.2</w:t>
        </w:r>
        <w:r>
          <w:rPr>
            <w:rFonts w:asciiTheme="minorHAnsi" w:eastAsiaTheme="minorEastAsia" w:hAnsiTheme="minorHAnsi" w:cstheme="minorBidi"/>
            <w:b w:val="0"/>
            <w:noProof/>
            <w:sz w:val="22"/>
            <w:szCs w:val="22"/>
          </w:rPr>
          <w:tab/>
        </w:r>
        <w:r w:rsidRPr="00532632">
          <w:rPr>
            <w:rStyle w:val="Hypertextovodkaz"/>
            <w:rFonts w:eastAsiaTheme="majorEastAsia"/>
            <w:noProof/>
          </w:rPr>
          <w:t>Syntetická paliva</w:t>
        </w:r>
        <w:r>
          <w:rPr>
            <w:noProof/>
            <w:webHidden/>
          </w:rPr>
          <w:tab/>
        </w:r>
        <w:r>
          <w:rPr>
            <w:noProof/>
            <w:webHidden/>
          </w:rPr>
          <w:fldChar w:fldCharType="begin"/>
        </w:r>
        <w:r>
          <w:rPr>
            <w:noProof/>
            <w:webHidden/>
          </w:rPr>
          <w:instrText xml:space="preserve"> PAGEREF _Toc34295963 \h </w:instrText>
        </w:r>
        <w:r>
          <w:rPr>
            <w:noProof/>
            <w:webHidden/>
          </w:rPr>
        </w:r>
        <w:r>
          <w:rPr>
            <w:noProof/>
            <w:webHidden/>
          </w:rPr>
          <w:fldChar w:fldCharType="separate"/>
        </w:r>
        <w:r>
          <w:rPr>
            <w:noProof/>
            <w:webHidden/>
          </w:rPr>
          <w:t>83</w:t>
        </w:r>
        <w:r>
          <w:rPr>
            <w:noProof/>
            <w:webHidden/>
          </w:rPr>
          <w:fldChar w:fldCharType="end"/>
        </w:r>
      </w:hyperlink>
    </w:p>
    <w:p w14:paraId="75FAB883" w14:textId="77777777" w:rsidR="00276F69" w:rsidRDefault="00276F69">
      <w:pPr>
        <w:pStyle w:val="Obsah2"/>
        <w:tabs>
          <w:tab w:val="left" w:pos="880"/>
          <w:tab w:val="right" w:leader="dot" w:pos="9628"/>
        </w:tabs>
        <w:rPr>
          <w:rFonts w:asciiTheme="minorHAnsi" w:eastAsiaTheme="minorEastAsia" w:hAnsiTheme="minorHAnsi" w:cstheme="minorBidi"/>
          <w:b w:val="0"/>
          <w:noProof/>
          <w:sz w:val="22"/>
          <w:szCs w:val="22"/>
        </w:rPr>
      </w:pPr>
      <w:hyperlink w:anchor="_Toc34295964" w:history="1">
        <w:r w:rsidRPr="00532632">
          <w:rPr>
            <w:rStyle w:val="Hypertextovodkaz"/>
            <w:rFonts w:eastAsiaTheme="majorEastAsia" w:cstheme="minorHAnsi"/>
            <w:noProof/>
          </w:rPr>
          <w:t>5.3</w:t>
        </w:r>
        <w:r>
          <w:rPr>
            <w:rFonts w:asciiTheme="minorHAnsi" w:eastAsiaTheme="minorEastAsia" w:hAnsiTheme="minorHAnsi" w:cstheme="minorBidi"/>
            <w:b w:val="0"/>
            <w:noProof/>
            <w:sz w:val="22"/>
            <w:szCs w:val="22"/>
          </w:rPr>
          <w:tab/>
        </w:r>
        <w:r w:rsidRPr="00532632">
          <w:rPr>
            <w:rStyle w:val="Hypertextovodkaz"/>
            <w:rFonts w:eastAsiaTheme="majorEastAsia" w:cstheme="minorHAnsi"/>
            <w:noProof/>
          </w:rPr>
          <w:t>Paliva na bázi čpavku</w:t>
        </w:r>
        <w:r>
          <w:rPr>
            <w:noProof/>
            <w:webHidden/>
          </w:rPr>
          <w:tab/>
        </w:r>
        <w:r>
          <w:rPr>
            <w:noProof/>
            <w:webHidden/>
          </w:rPr>
          <w:fldChar w:fldCharType="begin"/>
        </w:r>
        <w:r>
          <w:rPr>
            <w:noProof/>
            <w:webHidden/>
          </w:rPr>
          <w:instrText xml:space="preserve"> PAGEREF _Toc34295964 \h </w:instrText>
        </w:r>
        <w:r>
          <w:rPr>
            <w:noProof/>
            <w:webHidden/>
          </w:rPr>
        </w:r>
        <w:r>
          <w:rPr>
            <w:noProof/>
            <w:webHidden/>
          </w:rPr>
          <w:fldChar w:fldCharType="separate"/>
        </w:r>
        <w:r>
          <w:rPr>
            <w:noProof/>
            <w:webHidden/>
          </w:rPr>
          <w:t>85</w:t>
        </w:r>
        <w:r>
          <w:rPr>
            <w:noProof/>
            <w:webHidden/>
          </w:rPr>
          <w:fldChar w:fldCharType="end"/>
        </w:r>
      </w:hyperlink>
    </w:p>
    <w:p w14:paraId="163197F0" w14:textId="77777777" w:rsidR="00190DCC" w:rsidRDefault="00190DCC" w:rsidP="00190DCC">
      <w:pPr>
        <w:pStyle w:val="Nadpisobsahuaseznamu"/>
        <w:rPr>
          <w:kern w:val="32"/>
          <w:szCs w:val="32"/>
        </w:rPr>
      </w:pPr>
      <w:r w:rsidRPr="00190DCC">
        <w:rPr>
          <w:rFonts w:cs="Times New Roman"/>
          <w:b w:val="0"/>
          <w:bCs w:val="0"/>
          <w:caps w:val="0"/>
          <w:noProof w:val="0"/>
          <w:sz w:val="22"/>
        </w:rPr>
        <w:fldChar w:fldCharType="end"/>
      </w:r>
      <w:r>
        <w:br w:type="page"/>
      </w:r>
    </w:p>
    <w:p w14:paraId="079E830B" w14:textId="77777777" w:rsidR="001B4719" w:rsidRDefault="00F36AFD" w:rsidP="00D20BD4">
      <w:pPr>
        <w:pStyle w:val="Nadpis1"/>
      </w:pPr>
      <w:bookmarkStart w:id="3" w:name="_Toc25136751"/>
      <w:bookmarkStart w:id="4" w:name="_Toc34295877"/>
      <w:r>
        <w:lastRenderedPageBreak/>
        <w:t>A</w:t>
      </w:r>
      <w:r w:rsidR="001B4719">
        <w:t>nalytický materiál</w:t>
      </w:r>
      <w:bookmarkEnd w:id="0"/>
      <w:bookmarkEnd w:id="1"/>
      <w:bookmarkEnd w:id="3"/>
      <w:bookmarkEnd w:id="4"/>
    </w:p>
    <w:p w14:paraId="671600F4" w14:textId="77777777" w:rsidR="001B4719" w:rsidRPr="002015FE" w:rsidRDefault="001B4719" w:rsidP="001B4719">
      <w:pPr>
        <w:pStyle w:val="Nadpis2"/>
        <w:numPr>
          <w:ilvl w:val="1"/>
          <w:numId w:val="9"/>
        </w:numPr>
        <w:jc w:val="both"/>
      </w:pPr>
      <w:bookmarkStart w:id="5" w:name="_Toc19792270"/>
      <w:bookmarkStart w:id="6" w:name="_Toc25067647"/>
      <w:bookmarkStart w:id="7" w:name="_Toc25084444"/>
      <w:bookmarkStart w:id="8" w:name="_Toc25136752"/>
      <w:bookmarkStart w:id="9" w:name="_Toc34295878"/>
      <w:r w:rsidRPr="002015FE">
        <w:t>Obecná východiska pro aktualizaci NAP CM</w:t>
      </w:r>
      <w:bookmarkEnd w:id="5"/>
      <w:bookmarkEnd w:id="6"/>
      <w:bookmarkEnd w:id="7"/>
      <w:bookmarkEnd w:id="8"/>
      <w:bookmarkEnd w:id="9"/>
      <w:r w:rsidRPr="002015FE">
        <w:t xml:space="preserve"> </w:t>
      </w:r>
    </w:p>
    <w:p w14:paraId="522F872D" w14:textId="77777777" w:rsidR="001B4719" w:rsidRPr="002015FE" w:rsidRDefault="001B4719" w:rsidP="001B4719">
      <w:pPr>
        <w:pStyle w:val="Nadpis3"/>
        <w:numPr>
          <w:ilvl w:val="2"/>
          <w:numId w:val="9"/>
        </w:numPr>
        <w:tabs>
          <w:tab w:val="left" w:pos="851"/>
          <w:tab w:val="num" w:pos="2411"/>
        </w:tabs>
        <w:ind w:left="284" w:firstLine="0"/>
        <w:jc w:val="both"/>
      </w:pPr>
      <w:bookmarkStart w:id="10" w:name="_Toc19792271"/>
      <w:bookmarkStart w:id="11" w:name="_Toc25084445"/>
      <w:bookmarkStart w:id="12" w:name="_Toc25136753"/>
      <w:bookmarkStart w:id="13" w:name="_Toc34295879"/>
      <w:r w:rsidRPr="002015FE">
        <w:t>Pařížská klimaticko-energetická dohoda coby nový mezinárodně-právní rámec politiky klimatu</w:t>
      </w:r>
      <w:bookmarkEnd w:id="10"/>
      <w:bookmarkEnd w:id="11"/>
      <w:bookmarkEnd w:id="12"/>
      <w:bookmarkEnd w:id="13"/>
      <w:r>
        <w:t xml:space="preserve"> </w:t>
      </w:r>
    </w:p>
    <w:p w14:paraId="0461B0D4" w14:textId="77777777" w:rsidR="001B4719" w:rsidRPr="002015FE" w:rsidRDefault="001B4719" w:rsidP="001B4719">
      <w:pPr>
        <w:jc w:val="both"/>
      </w:pPr>
      <w:r w:rsidRPr="002015FE">
        <w:t xml:space="preserve">Za nejvýraznější změnu mezinárodního kontextu rozvoje čisté mobility, ke které došlo od schválení původního Národního akčního plánu čisté mobility, lze považovat přijetí tzv. </w:t>
      </w:r>
      <w:r w:rsidRPr="002015FE">
        <w:rPr>
          <w:b/>
        </w:rPr>
        <w:t>Pařížské dohody o</w:t>
      </w:r>
      <w:r w:rsidR="00546698">
        <w:rPr>
          <w:b/>
        </w:rPr>
        <w:t> </w:t>
      </w:r>
      <w:r w:rsidRPr="002015FE">
        <w:rPr>
          <w:b/>
        </w:rPr>
        <w:t>změně klimatu</w:t>
      </w:r>
      <w:r w:rsidRPr="002015FE">
        <w:t>. Právně závaznou dohodu odsouhlasilo v</w:t>
      </w:r>
      <w:r w:rsidR="00546698">
        <w:t> </w:t>
      </w:r>
      <w:r w:rsidRPr="002015FE">
        <w:t>prosinci 2015 všech 195 smluvních stran Rámcové úmluvy o</w:t>
      </w:r>
      <w:r w:rsidR="00546698">
        <w:t> </w:t>
      </w:r>
      <w:r w:rsidRPr="002015FE">
        <w:t>změně klimatu a</w:t>
      </w:r>
      <w:r w:rsidR="00546698">
        <w:t> </w:t>
      </w:r>
      <w:r w:rsidRPr="002015FE">
        <w:t>to včetně Číny, USA a</w:t>
      </w:r>
      <w:r w:rsidR="00546698">
        <w:t> </w:t>
      </w:r>
      <w:r w:rsidRPr="002015FE">
        <w:t>Indie, tedy zemí s</w:t>
      </w:r>
      <w:r w:rsidR="00546698">
        <w:t> </w:t>
      </w:r>
      <w:r w:rsidRPr="002015FE">
        <w:t>třemi největšími emisemi skleníkových plynů ze všech signatářů (asi 42 % dohromady). USA nicméně v</w:t>
      </w:r>
      <w:r w:rsidR="00546698">
        <w:t> </w:t>
      </w:r>
      <w:r w:rsidRPr="002015FE">
        <w:t>roce 2017 oznámilo, že od dohody hodlá ustoupit, k</w:t>
      </w:r>
      <w:r w:rsidR="00546698">
        <w:t> </w:t>
      </w:r>
      <w:r w:rsidRPr="002015FE">
        <w:t>čemuž by formálně mělo dojít v</w:t>
      </w:r>
      <w:r w:rsidR="00546698">
        <w:t> </w:t>
      </w:r>
      <w:r w:rsidRPr="002015FE">
        <w:t xml:space="preserve">roce 2020. </w:t>
      </w:r>
    </w:p>
    <w:p w14:paraId="32C96293" w14:textId="77777777" w:rsidR="001B4719" w:rsidRPr="002015FE" w:rsidRDefault="001B4719" w:rsidP="001B4719">
      <w:pPr>
        <w:jc w:val="both"/>
        <w:rPr>
          <w:rFonts w:asciiTheme="minorHAnsi" w:hAnsiTheme="minorHAnsi"/>
        </w:rPr>
      </w:pPr>
      <w:r w:rsidRPr="003C3F13">
        <w:t>Tato dohoda má řešit omezení emisí skleníkových plynů po roku 2020 a</w:t>
      </w:r>
      <w:r w:rsidR="00546698">
        <w:t> </w:t>
      </w:r>
      <w:r w:rsidRPr="003C3F13">
        <w:t>navázat tak na tzv. Kjótský protokol.</w:t>
      </w:r>
      <w:r>
        <w:t xml:space="preserve"> </w:t>
      </w:r>
      <w:r w:rsidRPr="003C3F13">
        <w:t>Účel dohody je popsán v</w:t>
      </w:r>
      <w:r w:rsidR="00546698">
        <w:t> </w:t>
      </w:r>
      <w:r w:rsidRPr="003C3F13">
        <w:t xml:space="preserve">jejím článku č. 2 jako „zlepšení implementace“ </w:t>
      </w:r>
      <w:hyperlink r:id="rId8" w:tooltip="Rámcová úmluva OSN o změně klimatu" w:history="1">
        <w:r w:rsidRPr="003C3F13">
          <w:t>Rámcové úmluvy OSN o</w:t>
        </w:r>
        <w:r w:rsidR="00546698">
          <w:t> </w:t>
        </w:r>
        <w:r w:rsidRPr="003C3F13">
          <w:t>změně klimatu</w:t>
        </w:r>
      </w:hyperlink>
      <w:r w:rsidRPr="003C3F13">
        <w:t xml:space="preserve"> pomocí</w:t>
      </w:r>
      <w:r w:rsidRPr="002015FE">
        <w:rPr>
          <w:rFonts w:asciiTheme="minorHAnsi" w:hAnsiTheme="minorHAnsi"/>
        </w:rPr>
        <w:t xml:space="preserve">: </w:t>
      </w:r>
    </w:p>
    <w:p w14:paraId="72D765A9" w14:textId="77777777" w:rsidR="001B4719" w:rsidRPr="002015FE" w:rsidRDefault="001B4719" w:rsidP="001B4719">
      <w:pPr>
        <w:pStyle w:val="Odrkyabc"/>
        <w:numPr>
          <w:ilvl w:val="0"/>
          <w:numId w:val="26"/>
        </w:numPr>
        <w:jc w:val="both"/>
      </w:pPr>
      <w:r>
        <w:t>„</w:t>
      </w:r>
      <w:r w:rsidRPr="002015FE">
        <w:t>udržení nárůstu globální průměrné teploty výrazně pod hranicí 2 °C oproti hodnotám před průmyslovou revolucí a</w:t>
      </w:r>
      <w:r w:rsidR="00546698">
        <w:t> </w:t>
      </w:r>
      <w:r w:rsidRPr="002015FE">
        <w:t>vyvinutí úsilí o</w:t>
      </w:r>
      <w:r w:rsidR="00546698">
        <w:t> </w:t>
      </w:r>
      <w:r w:rsidRPr="002015FE">
        <w:t>to, aby nárůst teploty nepřekročil hranici 1,5 °C oproti hodnotám před průmyslovou revolucí, a</w:t>
      </w:r>
      <w:r w:rsidR="00546698">
        <w:t> </w:t>
      </w:r>
      <w:r w:rsidRPr="002015FE">
        <w:t>uznání, že by to výrazně snížilo rizika a</w:t>
      </w:r>
      <w:r w:rsidR="00546698">
        <w:t> </w:t>
      </w:r>
      <w:r w:rsidRPr="002015FE">
        <w:t>dopady změny klimatu;</w:t>
      </w:r>
    </w:p>
    <w:p w14:paraId="4C63F071" w14:textId="77777777" w:rsidR="001B4719" w:rsidRPr="002015FE" w:rsidRDefault="001B4719" w:rsidP="001B4719">
      <w:pPr>
        <w:pStyle w:val="odrkaa"/>
        <w:jc w:val="both"/>
      </w:pPr>
      <w:r w:rsidRPr="002015FE">
        <w:t>zvyšování schopnosti přizpůsobit se nepříznivým dopadům změny klimatu a</w:t>
      </w:r>
      <w:r w:rsidR="00546698">
        <w:t> </w:t>
      </w:r>
      <w:r w:rsidRPr="002015FE">
        <w:t>posilování odolnosti vůči změně klimatu a</w:t>
      </w:r>
      <w:r w:rsidR="00546698">
        <w:t> </w:t>
      </w:r>
      <w:r w:rsidRPr="002015FE">
        <w:t>nízkoemisního rozvoje způsobem, který neohrozí produkci potravin;</w:t>
      </w:r>
    </w:p>
    <w:p w14:paraId="310BF632" w14:textId="77777777" w:rsidR="001B4719" w:rsidRPr="002015FE" w:rsidRDefault="001B4719" w:rsidP="001B4719">
      <w:pPr>
        <w:pStyle w:val="odrkaa"/>
        <w:jc w:val="both"/>
      </w:pPr>
      <w:r w:rsidRPr="002015FE">
        <w:t>sladění finančních toků s</w:t>
      </w:r>
      <w:r w:rsidR="00546698">
        <w:t> </w:t>
      </w:r>
      <w:r w:rsidRPr="002015FE">
        <w:t>nízkoemisním rozvojem odolným vůči změně klimatu.“</w:t>
      </w:r>
    </w:p>
    <w:p w14:paraId="32F09928" w14:textId="77777777" w:rsidR="001B4719" w:rsidRPr="002015FE" w:rsidRDefault="001B4719" w:rsidP="001B4719">
      <w:pPr>
        <w:jc w:val="both"/>
      </w:pPr>
      <w:r w:rsidRPr="002015FE">
        <w:t>Smluvní strany musí do roku 2020 prezentovat své emisní závazky, nízkoemisní strategie a</w:t>
      </w:r>
      <w:r w:rsidR="00546698">
        <w:t> </w:t>
      </w:r>
      <w:r w:rsidRPr="002015FE">
        <w:t xml:space="preserve">plány do roku 2050. </w:t>
      </w:r>
    </w:p>
    <w:p w14:paraId="533067D3" w14:textId="77777777" w:rsidR="001B4719" w:rsidRPr="002015FE" w:rsidRDefault="001B4719" w:rsidP="001B4719">
      <w:pPr>
        <w:jc w:val="both"/>
        <w:rPr>
          <w:b/>
        </w:rPr>
      </w:pPr>
      <w:r w:rsidRPr="002015FE">
        <w:t>K 15. lednu 2019 dohodu podepsalo 194 států a</w:t>
      </w:r>
      <w:r w:rsidR="00546698">
        <w:t> </w:t>
      </w:r>
      <w:r w:rsidRPr="002015FE">
        <w:t>Evropská unie a</w:t>
      </w:r>
      <w:r w:rsidR="00546698">
        <w:t> </w:t>
      </w:r>
      <w:r w:rsidRPr="002015FE">
        <w:t>184 z</w:t>
      </w:r>
      <w:r w:rsidR="00546698">
        <w:t> </w:t>
      </w:r>
      <w:r w:rsidRPr="002015FE">
        <w:t xml:space="preserve">těchto států dohodu ratifikovalo. Těchto 184 členů reprezentuje 89,3 % globálních emisí. Poslední země Evropské unie, která dohodu ratifikovala, byla Česká republika. </w:t>
      </w:r>
    </w:p>
    <w:p w14:paraId="030BF0C2" w14:textId="77777777" w:rsidR="001B4719" w:rsidRPr="002015FE" w:rsidRDefault="001B4719" w:rsidP="001B4719">
      <w:pPr>
        <w:pStyle w:val="Nadpis3"/>
        <w:numPr>
          <w:ilvl w:val="2"/>
          <w:numId w:val="9"/>
        </w:numPr>
        <w:tabs>
          <w:tab w:val="left" w:pos="851"/>
          <w:tab w:val="num" w:pos="2411"/>
        </w:tabs>
        <w:ind w:left="284" w:firstLine="0"/>
        <w:jc w:val="both"/>
      </w:pPr>
      <w:bookmarkStart w:id="14" w:name="_Toc19792272"/>
      <w:bookmarkStart w:id="15" w:name="_Toc25084446"/>
      <w:bookmarkStart w:id="16" w:name="_Toc25136754"/>
      <w:bookmarkStart w:id="17" w:name="_Toc34295880"/>
      <w:r w:rsidRPr="002015FE">
        <w:t>Vnitrostátní plán ČR v</w:t>
      </w:r>
      <w:r w:rsidR="00546698">
        <w:t> </w:t>
      </w:r>
      <w:r w:rsidRPr="002015FE">
        <w:t>oblasti energetiky a</w:t>
      </w:r>
      <w:r w:rsidR="00546698">
        <w:t> </w:t>
      </w:r>
      <w:r w:rsidRPr="002015FE">
        <w:t>klimatu</w:t>
      </w:r>
      <w:bookmarkEnd w:id="14"/>
      <w:bookmarkEnd w:id="15"/>
      <w:bookmarkEnd w:id="16"/>
      <w:bookmarkEnd w:id="17"/>
      <w:r w:rsidRPr="002015FE">
        <w:t xml:space="preserve"> </w:t>
      </w:r>
    </w:p>
    <w:p w14:paraId="7C1FF38D" w14:textId="3A09AB13" w:rsidR="001B4719" w:rsidRPr="002015FE" w:rsidRDefault="001B4719" w:rsidP="001B4719">
      <w:pPr>
        <w:jc w:val="both"/>
      </w:pPr>
      <w:r w:rsidRPr="002015FE">
        <w:t>Na základě požadavku Nařízení Evropského parlamentu a</w:t>
      </w:r>
      <w:r w:rsidR="00546698">
        <w:t> </w:t>
      </w:r>
      <w:r w:rsidRPr="002015FE">
        <w:t>Rady (EU) 2018/1999 o</w:t>
      </w:r>
      <w:r w:rsidR="00546698">
        <w:t> </w:t>
      </w:r>
      <w:r w:rsidRPr="002015FE">
        <w:t xml:space="preserve">správě energetické unie byl </w:t>
      </w:r>
      <w:r>
        <w:t xml:space="preserve">ze strany </w:t>
      </w:r>
      <w:r w:rsidRPr="002015FE">
        <w:t>MPO</w:t>
      </w:r>
      <w:r>
        <w:t xml:space="preserve"> a</w:t>
      </w:r>
      <w:r w:rsidR="00546698">
        <w:t> </w:t>
      </w:r>
      <w:r>
        <w:t>MŽP</w:t>
      </w:r>
      <w:r w:rsidRPr="002015FE">
        <w:t xml:space="preserve"> v</w:t>
      </w:r>
      <w:r w:rsidR="00546698">
        <w:t> </w:t>
      </w:r>
      <w:r w:rsidRPr="002015FE">
        <w:t xml:space="preserve">roce 2018 zpracován </w:t>
      </w:r>
      <w:r w:rsidR="002B448E">
        <w:t>n</w:t>
      </w:r>
      <w:r>
        <w:t xml:space="preserve">ávrh </w:t>
      </w:r>
      <w:r w:rsidR="002B448E">
        <w:t>V</w:t>
      </w:r>
      <w:r w:rsidRPr="002015FE">
        <w:t>nitrostátní</w:t>
      </w:r>
      <w:r>
        <w:t>ho</w:t>
      </w:r>
      <w:r w:rsidRPr="002015FE">
        <w:t xml:space="preserve"> plán</w:t>
      </w:r>
      <w:r>
        <w:t>u</w:t>
      </w:r>
      <w:r w:rsidRPr="002015FE">
        <w:t xml:space="preserve"> České republiky v</w:t>
      </w:r>
      <w:r w:rsidR="00546698">
        <w:t> </w:t>
      </w:r>
      <w:r w:rsidRPr="002015FE">
        <w:t>oblasti energetiky a</w:t>
      </w:r>
      <w:r w:rsidR="00546698">
        <w:t> </w:t>
      </w:r>
      <w:r w:rsidRPr="002015FE">
        <w:t xml:space="preserve">klimatu. </w:t>
      </w:r>
      <w:r>
        <w:t xml:space="preserve">Deklarovaným účelem </w:t>
      </w:r>
      <w:r w:rsidR="002B448E">
        <w:t>V</w:t>
      </w:r>
      <w:r>
        <w:t>nitrostátního plánu ČR</w:t>
      </w:r>
      <w:r w:rsidRPr="002015FE">
        <w:t xml:space="preserve"> je </w:t>
      </w:r>
      <w:r>
        <w:t xml:space="preserve">zejména </w:t>
      </w:r>
      <w:r w:rsidRPr="002015FE">
        <w:t>příprava a</w:t>
      </w:r>
      <w:r w:rsidR="00546698">
        <w:t> </w:t>
      </w:r>
      <w:r w:rsidRPr="002015FE">
        <w:t>implementace politiky a</w:t>
      </w:r>
      <w:r w:rsidR="00546698">
        <w:t> </w:t>
      </w:r>
      <w:r w:rsidRPr="002015FE">
        <w:t>opatření pro splnění cílů Energetické unie a</w:t>
      </w:r>
      <w:r w:rsidR="00546698">
        <w:t> </w:t>
      </w:r>
      <w:r w:rsidRPr="002015FE">
        <w:t>dlouhodobých závazků spojených se snižováním emisí skleníkových plynů, zejména s</w:t>
      </w:r>
      <w:r w:rsidR="00546698">
        <w:t> </w:t>
      </w:r>
      <w:r w:rsidRPr="002015FE">
        <w:t>ohledem na cíle Evropské unie v</w:t>
      </w:r>
      <w:r w:rsidR="00546698">
        <w:t> </w:t>
      </w:r>
      <w:r w:rsidRPr="002015FE">
        <w:t>oblasti energie a</w:t>
      </w:r>
      <w:r w:rsidR="00546698">
        <w:t> </w:t>
      </w:r>
      <w:r w:rsidRPr="002015FE">
        <w:t>klimatu do roku 2030</w:t>
      </w:r>
      <w:r>
        <w:t>.</w:t>
      </w:r>
      <w:r w:rsidRPr="002015FE">
        <w:t xml:space="preserve"> </w:t>
      </w:r>
    </w:p>
    <w:p w14:paraId="2B07FFBE" w14:textId="1951E391" w:rsidR="002B448E" w:rsidRDefault="001B4719" w:rsidP="002B448E">
      <w:pPr>
        <w:jc w:val="both"/>
      </w:pPr>
      <w:r w:rsidRPr="002015FE">
        <w:t>Dokument shrnuje veškerá opatření, která s</w:t>
      </w:r>
      <w:r w:rsidR="00546698">
        <w:t> </w:t>
      </w:r>
      <w:r w:rsidRPr="002015FE">
        <w:t>uvedenou problematikou souvisí, a</w:t>
      </w:r>
      <w:r w:rsidR="00546698">
        <w:t> </w:t>
      </w:r>
      <w:r w:rsidRPr="002015FE">
        <w:t>proto obsahuje též základní přehled dosavadního stavu implementace NAP CM, stejně jako záměry vyvíjené v</w:t>
      </w:r>
      <w:r w:rsidR="00546698">
        <w:t> </w:t>
      </w:r>
      <w:r w:rsidRPr="002015FE">
        <w:t>rámci předkládané aktualizace (včetně predikcí pro jednotlivé druhy alternativních paliv)</w:t>
      </w:r>
      <w:r>
        <w:t>.</w:t>
      </w:r>
    </w:p>
    <w:p w14:paraId="5FC0A807" w14:textId="77777777" w:rsidR="001B4719" w:rsidRPr="002015FE" w:rsidRDefault="001B4719" w:rsidP="001B4719">
      <w:pPr>
        <w:pStyle w:val="Nadpis3"/>
        <w:numPr>
          <w:ilvl w:val="2"/>
          <w:numId w:val="9"/>
        </w:numPr>
        <w:tabs>
          <w:tab w:val="left" w:pos="851"/>
          <w:tab w:val="num" w:pos="2411"/>
        </w:tabs>
        <w:ind w:left="284" w:firstLine="0"/>
        <w:jc w:val="both"/>
      </w:pPr>
      <w:bookmarkStart w:id="18" w:name="_Toc19792273"/>
      <w:bookmarkStart w:id="19" w:name="_Toc25084447"/>
      <w:bookmarkStart w:id="20" w:name="_Toc25136755"/>
      <w:bookmarkStart w:id="21" w:name="_Toc34295881"/>
      <w:r w:rsidRPr="002015FE">
        <w:t>Nový strategický rámec EU ve vztahu k</w:t>
      </w:r>
      <w:r w:rsidR="00546698">
        <w:t> </w:t>
      </w:r>
      <w:r w:rsidRPr="002015FE">
        <w:t>čisté mobilitě</w:t>
      </w:r>
      <w:bookmarkEnd w:id="18"/>
      <w:bookmarkEnd w:id="19"/>
      <w:bookmarkEnd w:id="20"/>
      <w:bookmarkEnd w:id="21"/>
      <w:r w:rsidRPr="002015FE">
        <w:t xml:space="preserve"> </w:t>
      </w:r>
    </w:p>
    <w:p w14:paraId="7CFAFB1E" w14:textId="77777777" w:rsidR="001B4719" w:rsidRPr="002015FE" w:rsidRDefault="001B4719" w:rsidP="001B4719">
      <w:pPr>
        <w:jc w:val="both"/>
      </w:pPr>
      <w:r w:rsidRPr="002015FE">
        <w:t>Především v</w:t>
      </w:r>
      <w:r w:rsidR="00546698">
        <w:t> </w:t>
      </w:r>
      <w:r w:rsidRPr="002015FE">
        <w:t>návaznosti na výš</w:t>
      </w:r>
      <w:r>
        <w:t>e</w:t>
      </w:r>
      <w:r w:rsidRPr="002015FE">
        <w:t xml:space="preserve"> uvedenou Pařížskou klimaticko-energetickou dohodu, byla ze strany Evropské komise zveřejněna řada strategických dokumentů, které se váží na problematiku, kter</w:t>
      </w:r>
      <w:r>
        <w:t>ou</w:t>
      </w:r>
      <w:r w:rsidRPr="002015FE">
        <w:t xml:space="preserve"> upravuje NAP CM. Často se v</w:t>
      </w:r>
      <w:r w:rsidR="00546698">
        <w:t> </w:t>
      </w:r>
      <w:r w:rsidRPr="002015FE">
        <w:t>nich můžeme setkat s</w:t>
      </w:r>
      <w:r w:rsidR="00546698">
        <w:t> </w:t>
      </w:r>
      <w:r w:rsidRPr="002015FE">
        <w:t>použitím nových termínů „bezemisní“ a</w:t>
      </w:r>
      <w:r w:rsidR="00546698">
        <w:t> </w:t>
      </w:r>
      <w:r w:rsidRPr="002015FE">
        <w:t>„nízkoemisní“ mobilita</w:t>
      </w:r>
      <w:r>
        <w:t xml:space="preserve"> a</w:t>
      </w:r>
      <w:r w:rsidR="00546698">
        <w:t> </w:t>
      </w:r>
      <w:r>
        <w:t>jsou provázány s</w:t>
      </w:r>
      <w:r w:rsidR="00546698">
        <w:t> </w:t>
      </w:r>
      <w:r>
        <w:t xml:space="preserve">cíli zmiňované </w:t>
      </w:r>
      <w:r w:rsidRPr="002015FE">
        <w:t xml:space="preserve">Pařížské dohody. Tyto dokumenty většinou představují jakési shrnutí plánovaných legislativních iniciativ EK. </w:t>
      </w:r>
    </w:p>
    <w:p w14:paraId="4380A14A" w14:textId="7E832C7F" w:rsidR="001B4719" w:rsidRDefault="001B4719" w:rsidP="001B4719">
      <w:pPr>
        <w:jc w:val="both"/>
        <w:rPr>
          <w:rFonts w:cs="Arial"/>
        </w:rPr>
      </w:pPr>
      <w:r w:rsidRPr="00255A20">
        <w:rPr>
          <w:rFonts w:cs="Arial"/>
        </w:rPr>
        <w:t>Mezi tyto strategické dokumenty patří</w:t>
      </w:r>
      <w:r w:rsidR="00276F69">
        <w:rPr>
          <w:rFonts w:cs="Arial"/>
        </w:rPr>
        <w:t>:</w:t>
      </w:r>
    </w:p>
    <w:p w14:paraId="38B8633C" w14:textId="77777777" w:rsidR="001B4719" w:rsidRDefault="001B4719" w:rsidP="001B4719">
      <w:pPr>
        <w:pStyle w:val="Odrka1"/>
        <w:jc w:val="both"/>
      </w:pPr>
      <w:r w:rsidRPr="00255A20">
        <w:rPr>
          <w:b/>
        </w:rPr>
        <w:lastRenderedPageBreak/>
        <w:t>Sdělení Komise „Evropská strategie pro nízkoemisní dopravu“</w:t>
      </w:r>
      <w:r w:rsidRPr="00255A20">
        <w:t xml:space="preserve"> z</w:t>
      </w:r>
      <w:r w:rsidR="00546698">
        <w:t> </w:t>
      </w:r>
      <w:r w:rsidRPr="00255A20">
        <w:t>července 2016 obsahující souhrn opatření, které plánuje EK přijmout za účelem vytvoření regulačního rámce nízkoemisní mobility</w:t>
      </w:r>
      <w:r>
        <w:t xml:space="preserve"> a</w:t>
      </w:r>
      <w:r w:rsidR="00546698">
        <w:t> </w:t>
      </w:r>
      <w:r>
        <w:t>dále pak</w:t>
      </w:r>
    </w:p>
    <w:p w14:paraId="14C3B5FD" w14:textId="77777777" w:rsidR="001B4719" w:rsidRPr="00255A20" w:rsidRDefault="001B4719" w:rsidP="001B4719">
      <w:pPr>
        <w:pStyle w:val="Odrka1"/>
        <w:jc w:val="both"/>
      </w:pPr>
      <w:r w:rsidRPr="00255A20">
        <w:rPr>
          <w:b/>
        </w:rPr>
        <w:t xml:space="preserve">Sdělení Komise „Širší využívání alternativních paliv - Akční plán pro zavádění infrastruktury pro alternativní paliva podle čl. 10 odst. 6 směrnice 2014/94/EU“ </w:t>
      </w:r>
      <w:r w:rsidRPr="00255A20">
        <w:t>z</w:t>
      </w:r>
      <w:r w:rsidR="00546698">
        <w:t> </w:t>
      </w:r>
      <w:r w:rsidRPr="00255A20">
        <w:t>listopadu 2017, jehož součástí je i</w:t>
      </w:r>
      <w:r w:rsidR="00546698">
        <w:t> </w:t>
      </w:r>
      <w:r w:rsidRPr="00255A20">
        <w:t xml:space="preserve">posouzení vnitrostátních rámců politiky podle čl. 10 odst. 2 směrnice 2014/94/EU (viz samostatná kapitola). </w:t>
      </w:r>
    </w:p>
    <w:p w14:paraId="33295F70" w14:textId="77777777" w:rsidR="001B4719" w:rsidRPr="00255A20" w:rsidRDefault="001B4719" w:rsidP="001B4719">
      <w:pPr>
        <w:jc w:val="both"/>
        <w:rPr>
          <w:rFonts w:cs="Arial"/>
        </w:rPr>
      </w:pPr>
      <w:r w:rsidRPr="00255A20">
        <w:rPr>
          <w:rFonts w:cs="Arial"/>
        </w:rPr>
        <w:t>Z plánů EK obsažených v</w:t>
      </w:r>
      <w:r w:rsidR="00546698">
        <w:rPr>
          <w:rFonts w:cs="Arial"/>
        </w:rPr>
        <w:t> </w:t>
      </w:r>
      <w:r w:rsidRPr="00255A20">
        <w:rPr>
          <w:rFonts w:cs="Arial"/>
        </w:rPr>
        <w:t xml:space="preserve">tomto Sdělení, které zatím nebyly vtěleny do konkrétních legislativních návrhů, lze zmínit např. problematiku </w:t>
      </w:r>
      <w:r w:rsidRPr="00255A20">
        <w:rPr>
          <w:rFonts w:cs="Arial"/>
          <w:b/>
        </w:rPr>
        <w:t xml:space="preserve">interoperability platebních služeb pro elektromobilitu </w:t>
      </w:r>
      <w:r w:rsidRPr="00255A20">
        <w:rPr>
          <w:rFonts w:cs="Arial"/>
        </w:rPr>
        <w:t>založenou na otevřených standardech. Zde EK aviz</w:t>
      </w:r>
      <w:r>
        <w:rPr>
          <w:rFonts w:cs="Arial"/>
        </w:rPr>
        <w:t>ovala</w:t>
      </w:r>
      <w:r w:rsidRPr="00255A20">
        <w:rPr>
          <w:rFonts w:cs="Arial"/>
        </w:rPr>
        <w:t xml:space="preserve"> otevřít toto téma v</w:t>
      </w:r>
      <w:r w:rsidR="00546698">
        <w:rPr>
          <w:rFonts w:cs="Arial"/>
        </w:rPr>
        <w:t> </w:t>
      </w:r>
      <w:r w:rsidRPr="00255A20">
        <w:rPr>
          <w:rFonts w:cs="Arial"/>
        </w:rPr>
        <w:t>roce 2018 formou veřejných konzultací s</w:t>
      </w:r>
      <w:r w:rsidR="00546698">
        <w:rPr>
          <w:rFonts w:cs="Arial"/>
        </w:rPr>
        <w:t> </w:t>
      </w:r>
      <w:r w:rsidRPr="00255A20">
        <w:rPr>
          <w:rFonts w:cs="Arial"/>
        </w:rPr>
        <w:t xml:space="preserve">tím, že pokud roztříštěnost platebních služeb přetrvá, zváží možnost zajistit jejich interoperabilitu legislativní cestou. EK ve Sdělení rovněž akcentuje otázku </w:t>
      </w:r>
      <w:r w:rsidRPr="00255A20">
        <w:rPr>
          <w:rFonts w:cs="Arial"/>
          <w:b/>
        </w:rPr>
        <w:t xml:space="preserve">předvídatelnosti nákladů za dobíjení. </w:t>
      </w:r>
      <w:r w:rsidRPr="00255A20">
        <w:rPr>
          <w:rFonts w:cs="Arial"/>
        </w:rPr>
        <w:t>Upozorňuje přitom to, že je nutné, aby měli</w:t>
      </w:r>
      <w:r w:rsidRPr="00255A20">
        <w:rPr>
          <w:rFonts w:cs="Arial"/>
          <w:b/>
        </w:rPr>
        <w:t xml:space="preserve"> </w:t>
      </w:r>
      <w:r w:rsidRPr="00255A20">
        <w:rPr>
          <w:rFonts w:cs="Arial"/>
        </w:rPr>
        <w:t>spotřebitelé přístup k</w:t>
      </w:r>
      <w:r w:rsidR="00546698">
        <w:rPr>
          <w:rFonts w:cs="Arial"/>
        </w:rPr>
        <w:t> </w:t>
      </w:r>
      <w:r w:rsidRPr="00255A20">
        <w:rPr>
          <w:rFonts w:cs="Arial"/>
        </w:rPr>
        <w:t>transparentním, srozumitelným a</w:t>
      </w:r>
      <w:r w:rsidR="00546698">
        <w:rPr>
          <w:rFonts w:cs="Arial"/>
        </w:rPr>
        <w:t> </w:t>
      </w:r>
      <w:r w:rsidRPr="00255A20">
        <w:rPr>
          <w:rFonts w:cs="Arial"/>
        </w:rPr>
        <w:t>aktuálním informacím o</w:t>
      </w:r>
      <w:r w:rsidR="00546698">
        <w:rPr>
          <w:rFonts w:cs="Arial"/>
        </w:rPr>
        <w:t> </w:t>
      </w:r>
      <w:r w:rsidRPr="00255A20">
        <w:rPr>
          <w:rFonts w:cs="Arial"/>
        </w:rPr>
        <w:t>cenách a</w:t>
      </w:r>
      <w:r w:rsidR="00546698">
        <w:rPr>
          <w:rFonts w:cs="Arial"/>
        </w:rPr>
        <w:t> </w:t>
      </w:r>
      <w:r w:rsidRPr="00255A20">
        <w:rPr>
          <w:rFonts w:cs="Arial"/>
        </w:rPr>
        <w:t>aby roamingové poplatky byly přiměřené a</w:t>
      </w:r>
      <w:r w:rsidR="00546698">
        <w:rPr>
          <w:rFonts w:cs="Arial"/>
        </w:rPr>
        <w:t> </w:t>
      </w:r>
      <w:r w:rsidRPr="00255A20">
        <w:rPr>
          <w:rFonts w:cs="Arial"/>
        </w:rPr>
        <w:t>omezené. Komise v</w:t>
      </w:r>
      <w:r w:rsidR="00546698">
        <w:rPr>
          <w:rFonts w:cs="Arial"/>
        </w:rPr>
        <w:t> </w:t>
      </w:r>
      <w:r w:rsidRPr="00255A20">
        <w:rPr>
          <w:rFonts w:cs="Arial"/>
        </w:rPr>
        <w:t xml:space="preserve">tomto směru očekává, že vedle zavedení roamingu prostřednictvím centralizovaného střediska bude trh moci dosáhnout optimálního výsledku také prostřednictvím konkurenčních mechanismů (např. blockchainu). Ani zde </w:t>
      </w:r>
      <w:r>
        <w:rPr>
          <w:rFonts w:cs="Arial"/>
        </w:rPr>
        <w:t xml:space="preserve">není </w:t>
      </w:r>
      <w:r w:rsidRPr="00255A20">
        <w:rPr>
          <w:rFonts w:cs="Arial"/>
        </w:rPr>
        <w:t>v</w:t>
      </w:r>
      <w:r w:rsidR="00546698">
        <w:rPr>
          <w:rFonts w:cs="Arial"/>
        </w:rPr>
        <w:t> </w:t>
      </w:r>
      <w:r w:rsidRPr="00255A20">
        <w:rPr>
          <w:rFonts w:cs="Arial"/>
        </w:rPr>
        <w:t>budoucnosti zcela vyloučená legislativní iniciativa a</w:t>
      </w:r>
      <w:r w:rsidR="00546698">
        <w:rPr>
          <w:rFonts w:cs="Arial"/>
        </w:rPr>
        <w:t> </w:t>
      </w:r>
      <w:r w:rsidRPr="00255A20">
        <w:rPr>
          <w:rFonts w:cs="Arial"/>
        </w:rPr>
        <w:t xml:space="preserve">to zvláště za situace, kdy se tomuto tématu nebudou adekvátně věnovat samy členské státy. </w:t>
      </w:r>
    </w:p>
    <w:p w14:paraId="553F0BD3" w14:textId="77777777" w:rsidR="001B4719" w:rsidRPr="002015FE" w:rsidRDefault="001B4719" w:rsidP="001B4719">
      <w:pPr>
        <w:jc w:val="both"/>
      </w:pPr>
      <w:r w:rsidRPr="002015FE">
        <w:t>Z hlediska budoucího strategického směřování čisté mobility v</w:t>
      </w:r>
      <w:r w:rsidR="00546698">
        <w:t> </w:t>
      </w:r>
      <w:r w:rsidRPr="002015FE">
        <w:t>ČR je pak důležitá kapitola s</w:t>
      </w:r>
      <w:r w:rsidR="00546698">
        <w:t> </w:t>
      </w:r>
      <w:r w:rsidRPr="002015FE">
        <w:t xml:space="preserve">názvem „Nové otázky“. Zde se jednak konstatuje, že ve vozidlech na zemní plyn by se mělo více </w:t>
      </w:r>
      <w:r w:rsidRPr="002015FE">
        <w:rPr>
          <w:b/>
        </w:rPr>
        <w:t xml:space="preserve">využívat přimíchávání udržitelného </w:t>
      </w:r>
      <w:r>
        <w:rPr>
          <w:b/>
        </w:rPr>
        <w:t>biometan</w:t>
      </w:r>
      <w:r w:rsidRPr="002015FE">
        <w:rPr>
          <w:b/>
        </w:rPr>
        <w:t xml:space="preserve">u do zemního plynu nebo nahrazování zemního plynu </w:t>
      </w:r>
      <w:r>
        <w:rPr>
          <w:b/>
        </w:rPr>
        <w:t>biometan</w:t>
      </w:r>
      <w:r w:rsidRPr="002015FE">
        <w:rPr>
          <w:b/>
        </w:rPr>
        <w:t>em</w:t>
      </w:r>
      <w:r w:rsidRPr="002015FE">
        <w:t>, aby se zvýšila jejich udržitelnost. Podle EK by se výrobci a</w:t>
      </w:r>
      <w:r w:rsidR="00546698">
        <w:t> </w:t>
      </w:r>
      <w:r w:rsidRPr="002015FE">
        <w:t>provozovatelé mohli ve věci přimíchávání dohodnout na konkrétních ambiciózních cílech, aby trh získal jistotu. EK v</w:t>
      </w:r>
      <w:r w:rsidR="00546698">
        <w:t> </w:t>
      </w:r>
      <w:r w:rsidRPr="002015FE">
        <w:t xml:space="preserve">této kapitola rovněž upozorňuje, že </w:t>
      </w:r>
      <w:r>
        <w:t xml:space="preserve">je </w:t>
      </w:r>
      <w:r w:rsidRPr="002015FE">
        <w:t xml:space="preserve">žádoucí rozšířit spektrum čistých </w:t>
      </w:r>
      <w:r w:rsidRPr="002015FE">
        <w:rPr>
          <w:b/>
        </w:rPr>
        <w:t xml:space="preserve">technologií pohonu železničních vozidel </w:t>
      </w:r>
      <w:r w:rsidRPr="002015FE">
        <w:t>a</w:t>
      </w:r>
      <w:r w:rsidR="00546698">
        <w:t> </w:t>
      </w:r>
      <w:r w:rsidRPr="002015FE">
        <w:t xml:space="preserve">to </w:t>
      </w:r>
      <w:r w:rsidRPr="002015FE">
        <w:rPr>
          <w:b/>
        </w:rPr>
        <w:t>na bázi vodíku</w:t>
      </w:r>
      <w:r w:rsidRPr="002015FE">
        <w:t xml:space="preserve"> v</w:t>
      </w:r>
      <w:r w:rsidR="00546698">
        <w:t> </w:t>
      </w:r>
      <w:r w:rsidRPr="002015FE">
        <w:t>kombinaci s</w:t>
      </w:r>
      <w:r w:rsidR="00546698">
        <w:t> </w:t>
      </w:r>
      <w:r w:rsidRPr="002015FE">
        <w:t>palivovými články</w:t>
      </w:r>
      <w:r>
        <w:t xml:space="preserve">. </w:t>
      </w:r>
    </w:p>
    <w:p w14:paraId="6EB58A12" w14:textId="77777777" w:rsidR="001B4719" w:rsidRPr="002015FE" w:rsidRDefault="001B4719" w:rsidP="001B4719">
      <w:pPr>
        <w:jc w:val="both"/>
      </w:pPr>
      <w:r w:rsidRPr="002015FE">
        <w:t xml:space="preserve">V listopadu 2018 pak vydala Evropská komise Sdělení </w:t>
      </w:r>
      <w:r w:rsidRPr="002015FE">
        <w:rPr>
          <w:b/>
        </w:rPr>
        <w:t>„Čistá planeta</w:t>
      </w:r>
      <w:r>
        <w:rPr>
          <w:b/>
        </w:rPr>
        <w:t xml:space="preserve"> pro všechny</w:t>
      </w:r>
      <w:r w:rsidRPr="002015FE">
        <w:rPr>
          <w:b/>
        </w:rPr>
        <w:t>: Evropská dlouhodobá vize prosperující, moderní, konkurenceschopné a</w:t>
      </w:r>
      <w:r w:rsidR="00546698">
        <w:rPr>
          <w:b/>
        </w:rPr>
        <w:t> </w:t>
      </w:r>
      <w:r w:rsidRPr="002015FE">
        <w:rPr>
          <w:b/>
        </w:rPr>
        <w:t>klimaticky neutrální ekonomiky</w:t>
      </w:r>
      <w:r w:rsidRPr="002015FE">
        <w:t xml:space="preserve">“, které obsahuje dlouhodobou klimatickou strategii EU do roku 2050. </w:t>
      </w:r>
      <w:r w:rsidRPr="002015FE">
        <w:rPr>
          <w:noProof/>
        </w:rPr>
        <w:t>Cílem této strategie je „potvrdit závazek Evropy zaujímat vedoucí postavení v</w:t>
      </w:r>
      <w:r w:rsidR="00546698">
        <w:rPr>
          <w:noProof/>
        </w:rPr>
        <w:t> </w:t>
      </w:r>
      <w:r w:rsidRPr="002015FE">
        <w:rPr>
          <w:noProof/>
        </w:rPr>
        <w:t>celosvětových opatřeních v</w:t>
      </w:r>
      <w:r w:rsidR="00546698">
        <w:rPr>
          <w:noProof/>
        </w:rPr>
        <w:t> </w:t>
      </w:r>
      <w:r w:rsidRPr="002015FE">
        <w:rPr>
          <w:noProof/>
        </w:rPr>
        <w:t>oblasti klimatu a</w:t>
      </w:r>
      <w:r w:rsidR="00546698">
        <w:rPr>
          <w:noProof/>
        </w:rPr>
        <w:t> </w:t>
      </w:r>
      <w:r w:rsidRPr="002015FE">
        <w:rPr>
          <w:noProof/>
        </w:rPr>
        <w:t>představit vizi, která může vést k</w:t>
      </w:r>
      <w:r w:rsidR="00546698">
        <w:rPr>
          <w:noProof/>
        </w:rPr>
        <w:t> </w:t>
      </w:r>
      <w:r w:rsidRPr="002015FE">
        <w:rPr>
          <w:noProof/>
        </w:rPr>
        <w:t>dosažení nulových</w:t>
      </w:r>
      <w:r>
        <w:rPr>
          <w:noProof/>
        </w:rPr>
        <w:t xml:space="preserve"> </w:t>
      </w:r>
      <w:r w:rsidRPr="002015FE">
        <w:rPr>
          <w:noProof/>
        </w:rPr>
        <w:t xml:space="preserve">emisí skleníkových plynů do roku 2050“ Konstatuje se zde mj., že </w:t>
      </w:r>
      <w:r w:rsidRPr="002015FE">
        <w:rPr>
          <w:noProof/>
          <w:u w:val="single"/>
        </w:rPr>
        <w:t>k</w:t>
      </w:r>
      <w:r w:rsidR="00546698">
        <w:rPr>
          <w:noProof/>
          <w:u w:val="single"/>
        </w:rPr>
        <w:t> </w:t>
      </w:r>
      <w:r w:rsidRPr="002015FE">
        <w:rPr>
          <w:noProof/>
          <w:u w:val="single"/>
        </w:rPr>
        <w:t>dekarbonizaci systému mobility musí přispět všechny druhy dopravy</w:t>
      </w:r>
      <w:r w:rsidRPr="002015FE">
        <w:rPr>
          <w:noProof/>
        </w:rPr>
        <w:t xml:space="preserve">. </w:t>
      </w:r>
      <w:r w:rsidRPr="002015FE">
        <w:t>I</w:t>
      </w:r>
      <w:r w:rsidR="00546698">
        <w:t> </w:t>
      </w:r>
      <w:r w:rsidRPr="002015FE">
        <w:t>když p</w:t>
      </w:r>
      <w:r w:rsidRPr="002015FE">
        <w:rPr>
          <w:noProof/>
        </w:rPr>
        <w:t>rvní součástí tohoto přístupu jsou dle EK vozidla s</w:t>
      </w:r>
      <w:r w:rsidR="00546698">
        <w:rPr>
          <w:noProof/>
        </w:rPr>
        <w:t> </w:t>
      </w:r>
      <w:r w:rsidRPr="002015FE">
        <w:rPr>
          <w:noProof/>
        </w:rPr>
        <w:t>nízkými a</w:t>
      </w:r>
      <w:r w:rsidR="00546698">
        <w:rPr>
          <w:noProof/>
        </w:rPr>
        <w:t> </w:t>
      </w:r>
      <w:r w:rsidRPr="002015FE">
        <w:rPr>
          <w:noProof/>
        </w:rPr>
        <w:t>nulovými emisemi a</w:t>
      </w:r>
      <w:r w:rsidR="00546698">
        <w:rPr>
          <w:noProof/>
        </w:rPr>
        <w:t> </w:t>
      </w:r>
      <w:r w:rsidRPr="002015FE">
        <w:rPr>
          <w:noProof/>
        </w:rPr>
        <w:t>s</w:t>
      </w:r>
      <w:r>
        <w:rPr>
          <w:noProof/>
        </w:rPr>
        <w:t> </w:t>
      </w:r>
      <w:r w:rsidRPr="002015FE">
        <w:rPr>
          <w:noProof/>
        </w:rPr>
        <w:t xml:space="preserve">vysoce účinnými alternativními elektrickými pohonnými systémy ve všech druzích dopravy, sama </w:t>
      </w:r>
      <w:r w:rsidRPr="002015FE">
        <w:rPr>
          <w:noProof/>
          <w:u w:val="single"/>
        </w:rPr>
        <w:t>EK připouští, že elektrifikace za použití obnovitelných zdrojů energie sama o</w:t>
      </w:r>
      <w:r w:rsidR="00546698">
        <w:rPr>
          <w:noProof/>
          <w:u w:val="single"/>
        </w:rPr>
        <w:t> </w:t>
      </w:r>
      <w:r w:rsidRPr="002015FE">
        <w:rPr>
          <w:noProof/>
          <w:u w:val="single"/>
        </w:rPr>
        <w:t>sobě jediným zázračným řešením pro všechny druhy dopravy</w:t>
      </w:r>
      <w:r>
        <w:rPr>
          <w:noProof/>
          <w:u w:val="single"/>
        </w:rPr>
        <w:t xml:space="preserve"> není</w:t>
      </w:r>
      <w:r w:rsidRPr="002015FE">
        <w:rPr>
          <w:noProof/>
        </w:rPr>
        <w:t xml:space="preserve">. Do doby, než se objeví nové technologie, které umožní elektrifikovat více druhů dopravy, než je tomu dnes, budou dle EK důležitá alternativní paliva. </w:t>
      </w:r>
      <w:r w:rsidRPr="002015FE">
        <w:rPr>
          <w:noProof/>
          <w:u w:val="single"/>
        </w:rPr>
        <w:t>Ve střednědobém až dlouhodobém horizontu se navíc mohou stát konkurenceschopnými technologie založené na vodík</w:t>
      </w:r>
      <w:r w:rsidRPr="002015FE">
        <w:rPr>
          <w:noProof/>
        </w:rPr>
        <w:t>u (např. elektrická vozidla a</w:t>
      </w:r>
      <w:r w:rsidR="00546698">
        <w:rPr>
          <w:noProof/>
        </w:rPr>
        <w:t> </w:t>
      </w:r>
      <w:r w:rsidRPr="002015FE">
        <w:rPr>
          <w:noProof/>
        </w:rPr>
        <w:t>plavidla využívající palivové články). Zkapalněný zemní plyn s</w:t>
      </w:r>
      <w:r w:rsidR="00546698">
        <w:rPr>
          <w:noProof/>
        </w:rPr>
        <w:t> </w:t>
      </w:r>
      <w:r w:rsidRPr="002015FE">
        <w:rPr>
          <w:noProof/>
        </w:rPr>
        <w:t xml:space="preserve">vysokým podílem </w:t>
      </w:r>
      <w:r>
        <w:rPr>
          <w:noProof/>
        </w:rPr>
        <w:t>biometan</w:t>
      </w:r>
      <w:r w:rsidRPr="002015FE">
        <w:rPr>
          <w:noProof/>
        </w:rPr>
        <w:t>u by se také mohl stát krátkodobou alternativou pro přepravu na velké vzdálenosti. Letecká doprava musí počítat s</w:t>
      </w:r>
      <w:r w:rsidR="00546698">
        <w:rPr>
          <w:noProof/>
        </w:rPr>
        <w:t> </w:t>
      </w:r>
      <w:r w:rsidRPr="002015FE">
        <w:rPr>
          <w:noProof/>
        </w:rPr>
        <w:t>přechodem na pokročilá biopaliva a</w:t>
      </w:r>
      <w:r w:rsidR="00546698">
        <w:rPr>
          <w:noProof/>
        </w:rPr>
        <w:t> </w:t>
      </w:r>
      <w:r w:rsidRPr="002015FE">
        <w:rPr>
          <w:noProof/>
        </w:rPr>
        <w:t>bezuhlíková e-paliva s</w:t>
      </w:r>
      <w:r w:rsidR="00546698">
        <w:rPr>
          <w:noProof/>
        </w:rPr>
        <w:t> </w:t>
      </w:r>
      <w:r w:rsidRPr="002015FE">
        <w:rPr>
          <w:noProof/>
        </w:rPr>
        <w:t>hybridizací a</w:t>
      </w:r>
      <w:r w:rsidR="00546698">
        <w:rPr>
          <w:noProof/>
        </w:rPr>
        <w:t> </w:t>
      </w:r>
      <w:r w:rsidRPr="002015FE">
        <w:rPr>
          <w:noProof/>
        </w:rPr>
        <w:t>s</w:t>
      </w:r>
      <w:r>
        <w:rPr>
          <w:noProof/>
        </w:rPr>
        <w:t> </w:t>
      </w:r>
      <w:r w:rsidRPr="002015FE">
        <w:rPr>
          <w:noProof/>
        </w:rPr>
        <w:t>dalším zlepšováním účinnosti technologie letadel. V</w:t>
      </w:r>
      <w:r w:rsidR="00546698">
        <w:rPr>
          <w:noProof/>
        </w:rPr>
        <w:t> </w:t>
      </w:r>
      <w:r w:rsidRPr="002015FE">
        <w:rPr>
          <w:noProof/>
        </w:rPr>
        <w:t>lodní dopravě na dlouhé vzdálenosti a</w:t>
      </w:r>
      <w:r w:rsidR="00546698">
        <w:rPr>
          <w:noProof/>
        </w:rPr>
        <w:t> </w:t>
      </w:r>
      <w:r w:rsidRPr="002015FE">
        <w:rPr>
          <w:noProof/>
        </w:rPr>
        <w:t>u</w:t>
      </w:r>
      <w:r>
        <w:rPr>
          <w:noProof/>
        </w:rPr>
        <w:t> </w:t>
      </w:r>
      <w:r w:rsidRPr="002015FE">
        <w:rPr>
          <w:noProof/>
        </w:rPr>
        <w:t>těžkých nákladních vozidel mohou svoji úlohu sehrát nejenom biopaliva a</w:t>
      </w:r>
      <w:r w:rsidR="00546698">
        <w:rPr>
          <w:noProof/>
        </w:rPr>
        <w:t> </w:t>
      </w:r>
      <w:r w:rsidRPr="002015FE">
        <w:rPr>
          <w:noProof/>
        </w:rPr>
        <w:t>bioplyn, ale také e-paliva za předpokladu, že budou bezuhlíková během celého svého výrobního řetězce.</w:t>
      </w:r>
      <w:r w:rsidRPr="002015FE">
        <w:rPr>
          <w:sz w:val="23"/>
          <w:szCs w:val="23"/>
        </w:rPr>
        <w:t xml:space="preserve"> </w:t>
      </w:r>
    </w:p>
    <w:p w14:paraId="457ECE5F" w14:textId="77777777" w:rsidR="001B4719" w:rsidRPr="002015FE" w:rsidRDefault="001B4719" w:rsidP="001B4719">
      <w:pPr>
        <w:pStyle w:val="Nadpis3"/>
        <w:numPr>
          <w:ilvl w:val="2"/>
          <w:numId w:val="9"/>
        </w:numPr>
        <w:tabs>
          <w:tab w:val="left" w:pos="851"/>
          <w:tab w:val="num" w:pos="2411"/>
        </w:tabs>
        <w:ind w:left="284" w:firstLine="0"/>
        <w:jc w:val="both"/>
      </w:pPr>
      <w:bookmarkStart w:id="22" w:name="_Toc19792274"/>
      <w:bookmarkStart w:id="23" w:name="_Toc25084448"/>
      <w:bookmarkStart w:id="24" w:name="_Toc25136756"/>
      <w:bookmarkStart w:id="25" w:name="_Toc34295882"/>
      <w:r w:rsidRPr="002015FE">
        <w:t>Nová evropská legislativa ve vztahu k</w:t>
      </w:r>
      <w:r w:rsidR="00546698">
        <w:t> </w:t>
      </w:r>
      <w:r w:rsidRPr="002015FE">
        <w:t>problematice emisí skleníkových plynů po roce 2020</w:t>
      </w:r>
      <w:bookmarkEnd w:id="22"/>
      <w:bookmarkEnd w:id="23"/>
      <w:bookmarkEnd w:id="24"/>
      <w:bookmarkEnd w:id="25"/>
    </w:p>
    <w:p w14:paraId="5BE07316" w14:textId="31A72E47" w:rsidR="001B4719" w:rsidRPr="002015FE" w:rsidRDefault="001B4719" w:rsidP="001B4719">
      <w:pPr>
        <w:jc w:val="both"/>
        <w:rPr>
          <w:b/>
        </w:rPr>
      </w:pPr>
      <w:r w:rsidRPr="002015FE">
        <w:t>Mezi konkrétní legislativní opatření, kterými se Evropská unie snaží přispět k</w:t>
      </w:r>
      <w:r w:rsidR="00546698">
        <w:t> </w:t>
      </w:r>
      <w:r w:rsidRPr="002015FE">
        <w:t>dosažení výše uvedeného cíle Pařížské dohody o</w:t>
      </w:r>
      <w:r w:rsidR="00546698">
        <w:t> </w:t>
      </w:r>
      <w:r w:rsidRPr="002015FE">
        <w:t xml:space="preserve">změně klimatu, patří nová evropská legislativa stanovující </w:t>
      </w:r>
      <w:r w:rsidRPr="002015FE">
        <w:rPr>
          <w:b/>
        </w:rPr>
        <w:t>výkonnostní emisní normy CO</w:t>
      </w:r>
      <w:r w:rsidRPr="002015FE">
        <w:rPr>
          <w:b/>
          <w:vertAlign w:val="subscript"/>
        </w:rPr>
        <w:t>2</w:t>
      </w:r>
      <w:r w:rsidRPr="002015FE">
        <w:rPr>
          <w:b/>
        </w:rPr>
        <w:t xml:space="preserve"> pro nové osobní automobily, lehká užitková vozidla a</w:t>
      </w:r>
      <w:r w:rsidR="00546698">
        <w:rPr>
          <w:b/>
        </w:rPr>
        <w:t> </w:t>
      </w:r>
      <w:r w:rsidRPr="002015FE">
        <w:rPr>
          <w:b/>
        </w:rPr>
        <w:t>nově i</w:t>
      </w:r>
      <w:r w:rsidR="00546698">
        <w:rPr>
          <w:b/>
        </w:rPr>
        <w:t> </w:t>
      </w:r>
      <w:r w:rsidRPr="002015FE">
        <w:rPr>
          <w:b/>
        </w:rPr>
        <w:t xml:space="preserve">těžká vozidla po roce 2020. </w:t>
      </w:r>
      <w:r w:rsidRPr="002015FE">
        <w:t>Příslušné návrhy EK předložila v</w:t>
      </w:r>
      <w:r w:rsidR="00546698">
        <w:t> </w:t>
      </w:r>
      <w:r w:rsidRPr="002015FE">
        <w:t>rámci tzv. 2. a</w:t>
      </w:r>
      <w:r w:rsidR="00546698">
        <w:t> </w:t>
      </w:r>
      <w:r w:rsidRPr="002015FE">
        <w:t xml:space="preserve">3. balíčku mobility. Oba návrhy nařízení obsahovaly povinnost pro výrobce zajistit </w:t>
      </w:r>
      <w:r w:rsidRPr="002015FE">
        <w:rPr>
          <w:u w:val="single"/>
        </w:rPr>
        <w:t>do roku 2025 snížení emisí u</w:t>
      </w:r>
      <w:r w:rsidR="00546698">
        <w:rPr>
          <w:u w:val="single"/>
        </w:rPr>
        <w:t> </w:t>
      </w:r>
      <w:r w:rsidRPr="002015FE">
        <w:rPr>
          <w:u w:val="single"/>
        </w:rPr>
        <w:t xml:space="preserve">nových </w:t>
      </w:r>
      <w:r w:rsidRPr="002015FE">
        <w:rPr>
          <w:u w:val="single"/>
        </w:rPr>
        <w:lastRenderedPageBreak/>
        <w:t>vozidel o</w:t>
      </w:r>
      <w:r w:rsidR="00546698">
        <w:rPr>
          <w:u w:val="single"/>
        </w:rPr>
        <w:t> </w:t>
      </w:r>
      <w:r w:rsidRPr="002015FE">
        <w:rPr>
          <w:u w:val="single"/>
        </w:rPr>
        <w:t xml:space="preserve">15 %. Do roku 2030 by </w:t>
      </w:r>
      <w:r>
        <w:rPr>
          <w:u w:val="single"/>
        </w:rPr>
        <w:t xml:space="preserve">se </w:t>
      </w:r>
      <w:r w:rsidRPr="002015FE">
        <w:rPr>
          <w:u w:val="single"/>
        </w:rPr>
        <w:t>pak mělo jednat o</w:t>
      </w:r>
      <w:r w:rsidR="00546698">
        <w:rPr>
          <w:u w:val="single"/>
        </w:rPr>
        <w:t> </w:t>
      </w:r>
      <w:r w:rsidRPr="002015FE">
        <w:rPr>
          <w:u w:val="single"/>
        </w:rPr>
        <w:t>30% pokles těchto emisí.</w:t>
      </w:r>
      <w:r w:rsidRPr="002015FE">
        <w:t xml:space="preserve"> U</w:t>
      </w:r>
      <w:r w:rsidR="00546698">
        <w:t> </w:t>
      </w:r>
      <w:r w:rsidRPr="002015FE">
        <w:t>osobních a</w:t>
      </w:r>
      <w:r w:rsidR="00546698">
        <w:t> </w:t>
      </w:r>
      <w:r w:rsidRPr="002015FE">
        <w:t>lehkých užitkových vozidel je referenčním rokem rok 2021 (k</w:t>
      </w:r>
      <w:r>
        <w:t> </w:t>
      </w:r>
      <w:r w:rsidRPr="002015FE">
        <w:t>tomuto roku je pro všechny nové osobní automobily platný cíl 95 g</w:t>
      </w:r>
      <w:r w:rsidR="00546698">
        <w:t> </w:t>
      </w:r>
      <w:r w:rsidRPr="002015FE">
        <w:t>CO</w:t>
      </w:r>
      <w:r w:rsidRPr="002015FE">
        <w:rPr>
          <w:vertAlign w:val="subscript"/>
        </w:rPr>
        <w:t>2</w:t>
      </w:r>
      <w:r w:rsidRPr="002015FE">
        <w:t xml:space="preserve">/km), pro těžká užitková vozidla </w:t>
      </w:r>
      <w:r w:rsidR="00CA2F24" w:rsidRPr="00CA2F24">
        <w:t>pak z období červenec 2019 – červenec 2020. V případě osobních a lehkých užitkových vozidel návrh definuje pojem nízkoemisního vozidla tak, že jde o vozidlo, k</w:t>
      </w:r>
      <w:r w:rsidR="00CA2F24">
        <w:t>teré nepřekračuje limit 50 g CO</w:t>
      </w:r>
      <w:r w:rsidR="00CA2F24">
        <w:rPr>
          <w:vertAlign w:val="subscript"/>
        </w:rPr>
        <w:t>2</w:t>
      </w:r>
      <w:r w:rsidR="00CA2F24" w:rsidRPr="00CA2F24">
        <w:t>/km. V případě těžkých vozidel byl tento limit nakonec stanove</w:t>
      </w:r>
      <w:r w:rsidR="00027CA5">
        <w:t>n komplexněji (</w:t>
      </w:r>
      <w:r w:rsidR="00CA2F24" w:rsidRPr="00CA2F24">
        <w:t>voz</w:t>
      </w:r>
      <w:r w:rsidR="00CA2F24">
        <w:t>idlo se specifickými emisemi CO</w:t>
      </w:r>
      <w:r w:rsidR="00CA2F24">
        <w:rPr>
          <w:vertAlign w:val="subscript"/>
        </w:rPr>
        <w:t>2</w:t>
      </w:r>
      <w:r w:rsidR="00CA2F24" w:rsidRPr="00CA2F24">
        <w:t xml:space="preserve"> o více než polovinu nižším</w:t>
      </w:r>
      <w:r w:rsidR="00CA2F24">
        <w:t>i, než jsou referenční emise CO</w:t>
      </w:r>
      <w:r w:rsidR="00CA2F24">
        <w:rPr>
          <w:vertAlign w:val="subscript"/>
        </w:rPr>
        <w:t>2</w:t>
      </w:r>
      <w:r w:rsidR="00CA2F24" w:rsidRPr="00CA2F24">
        <w:t xml:space="preserve"> všech vozidel podskupiny vozidel, do níž toto těžké vozidlo patří)</w:t>
      </w:r>
      <w:r w:rsidR="00276F69">
        <w:t xml:space="preserve">. </w:t>
      </w:r>
      <w:r w:rsidRPr="002015FE">
        <w:t>Projednávání obou návrhů bylo již dokončeno, přičemž zatímco u</w:t>
      </w:r>
      <w:r w:rsidR="00365E96">
        <w:t xml:space="preserve"> </w:t>
      </w:r>
      <w:r w:rsidRPr="002015FE">
        <w:t>návrhu nařízení k</w:t>
      </w:r>
      <w:r w:rsidR="00546698">
        <w:rPr>
          <w:u w:val="single"/>
        </w:rPr>
        <w:t> </w:t>
      </w:r>
      <w:r w:rsidRPr="002015FE">
        <w:t>těžkým nákladním vozidlům byly navrhované cíle ponechány bez změny, u</w:t>
      </w:r>
      <w:r w:rsidR="00365E96">
        <w:t xml:space="preserve"> </w:t>
      </w:r>
      <w:r w:rsidRPr="002015FE">
        <w:t>návrhu nařízení k</w:t>
      </w:r>
      <w:r w:rsidR="00546698">
        <w:rPr>
          <w:u w:val="single"/>
        </w:rPr>
        <w:t> </w:t>
      </w:r>
      <w:r w:rsidRPr="002015FE">
        <w:t>osobním a</w:t>
      </w:r>
      <w:r w:rsidR="00546698">
        <w:rPr>
          <w:u w:val="single"/>
        </w:rPr>
        <w:t> </w:t>
      </w:r>
      <w:r w:rsidRPr="002015FE">
        <w:t>lehkým užitkovým vozidlům došlo ještě k</w:t>
      </w:r>
      <w:r w:rsidR="00546698">
        <w:rPr>
          <w:u w:val="single"/>
        </w:rPr>
        <w:t> </w:t>
      </w:r>
      <w:r w:rsidRPr="002015FE">
        <w:t>určitému zpřísnění. Výrobci osobních automobilů tak budou muset k</w:t>
      </w:r>
      <w:r w:rsidR="00546698">
        <w:rPr>
          <w:u w:val="single"/>
        </w:rPr>
        <w:t> </w:t>
      </w:r>
      <w:r w:rsidRPr="002015FE">
        <w:t>roku 2030 dosáhnout snížení emise CO</w:t>
      </w:r>
      <w:r w:rsidRPr="002015FE">
        <w:rPr>
          <w:vertAlign w:val="subscript"/>
        </w:rPr>
        <w:t>2</w:t>
      </w:r>
      <w:r w:rsidRPr="002015FE">
        <w:t xml:space="preserve"> dokonce až o</w:t>
      </w:r>
      <w:r w:rsidR="00365E96">
        <w:t xml:space="preserve"> </w:t>
      </w:r>
      <w:r w:rsidRPr="002015FE">
        <w:t>37,5</w:t>
      </w:r>
      <w:r w:rsidR="00365E96">
        <w:t> </w:t>
      </w:r>
      <w:r w:rsidRPr="002015FE">
        <w:t>%.</w:t>
      </w:r>
      <w:r>
        <w:t xml:space="preserve"> </w:t>
      </w:r>
      <w:r w:rsidRPr="002015FE">
        <w:t>Je tak zřejmé, že takováto finální podoba obou nařízení bude tlačit na výrobce vozidel, aby po roce 2020 urychlil</w:t>
      </w:r>
      <w:r>
        <w:t>i</w:t>
      </w:r>
      <w:r w:rsidRPr="002015FE">
        <w:t xml:space="preserve"> svoji produkci bezemisních a</w:t>
      </w:r>
      <w:r w:rsidR="00546698">
        <w:t> </w:t>
      </w:r>
      <w:r w:rsidRPr="002015FE">
        <w:t xml:space="preserve">tedy zejména elektrických vozidel. </w:t>
      </w:r>
      <w:r w:rsidRPr="00255A20">
        <w:rPr>
          <w:b/>
        </w:rPr>
        <w:t>S</w:t>
      </w:r>
      <w:r w:rsidR="00546698">
        <w:rPr>
          <w:b/>
        </w:rPr>
        <w:t> </w:t>
      </w:r>
      <w:r w:rsidRPr="00255A20">
        <w:rPr>
          <w:b/>
        </w:rPr>
        <w:t>ohledem na další zlepšování kvality ovzduší i</w:t>
      </w:r>
      <w:r w:rsidR="00546698">
        <w:rPr>
          <w:b/>
        </w:rPr>
        <w:t> </w:t>
      </w:r>
      <w:r w:rsidRPr="00255A20">
        <w:rPr>
          <w:b/>
        </w:rPr>
        <w:t>význam automobilového průmyslu pro českou ekonomiku bude pro Českou republiku důležité, aby nezaostala v</w:t>
      </w:r>
      <w:r w:rsidR="00546698">
        <w:rPr>
          <w:b/>
        </w:rPr>
        <w:t> </w:t>
      </w:r>
      <w:r w:rsidRPr="00255A20">
        <w:rPr>
          <w:b/>
        </w:rPr>
        <w:t>oblasti nízkoemisní mobility za vývojem v</w:t>
      </w:r>
      <w:r w:rsidR="00546698">
        <w:rPr>
          <w:b/>
        </w:rPr>
        <w:t> </w:t>
      </w:r>
      <w:r w:rsidRPr="00255A20">
        <w:rPr>
          <w:b/>
        </w:rPr>
        <w:t>jiných zemích EU. Tomu by měla odpovídat i</w:t>
      </w:r>
      <w:r w:rsidR="00546698">
        <w:rPr>
          <w:b/>
        </w:rPr>
        <w:t> </w:t>
      </w:r>
      <w:r w:rsidRPr="00255A20">
        <w:rPr>
          <w:b/>
        </w:rPr>
        <w:t>příslušná podpora ze strany státu.</w:t>
      </w:r>
    </w:p>
    <w:p w14:paraId="4CAC05DB" w14:textId="77777777" w:rsidR="001B4719" w:rsidRPr="002015FE" w:rsidRDefault="001B4719" w:rsidP="001B4719">
      <w:pPr>
        <w:pStyle w:val="Nadpis3"/>
        <w:numPr>
          <w:ilvl w:val="2"/>
          <w:numId w:val="9"/>
        </w:numPr>
        <w:tabs>
          <w:tab w:val="left" w:pos="851"/>
          <w:tab w:val="num" w:pos="2411"/>
        </w:tabs>
        <w:ind w:left="284" w:firstLine="0"/>
        <w:jc w:val="both"/>
      </w:pPr>
      <w:bookmarkStart w:id="26" w:name="_Toc19792275"/>
      <w:bookmarkStart w:id="27" w:name="_Toc25084449"/>
      <w:bookmarkStart w:id="28" w:name="_Toc25136757"/>
      <w:bookmarkStart w:id="29" w:name="_Toc34295883"/>
      <w:r w:rsidRPr="002015FE">
        <w:t>Další důležitá legislativa EU dotýkající problematiky čisté mobility</w:t>
      </w:r>
      <w:bookmarkEnd w:id="26"/>
      <w:bookmarkEnd w:id="27"/>
      <w:bookmarkEnd w:id="28"/>
      <w:bookmarkEnd w:id="29"/>
      <w:r w:rsidRPr="002015FE">
        <w:t xml:space="preserve"> </w:t>
      </w:r>
    </w:p>
    <w:p w14:paraId="7E698DDA" w14:textId="77777777" w:rsidR="001B4719" w:rsidRPr="002015FE" w:rsidRDefault="001B4719" w:rsidP="001B4719">
      <w:pPr>
        <w:jc w:val="both"/>
      </w:pPr>
      <w:r w:rsidRPr="002015FE">
        <w:t xml:space="preserve">Důležitý impuls pro rozvoj čisté mobility by mohla přinést též </w:t>
      </w:r>
      <w:r w:rsidRPr="002015FE">
        <w:rPr>
          <w:b/>
        </w:rPr>
        <w:t>revize směrnice 2009/33/ES o</w:t>
      </w:r>
      <w:r w:rsidR="00546698">
        <w:rPr>
          <w:b/>
        </w:rPr>
        <w:t> </w:t>
      </w:r>
      <w:r w:rsidRPr="002015FE">
        <w:rPr>
          <w:b/>
        </w:rPr>
        <w:t>čistých vozidlech</w:t>
      </w:r>
      <w:r w:rsidRPr="002015FE">
        <w:t>, kterou EK předložila v</w:t>
      </w:r>
      <w:r w:rsidR="00546698">
        <w:t> </w:t>
      </w:r>
      <w:r w:rsidRPr="002015FE">
        <w:t>listopadu 2017 v</w:t>
      </w:r>
      <w:r w:rsidR="00546698">
        <w:t> </w:t>
      </w:r>
      <w:r w:rsidRPr="002015FE">
        <w:t>rámci 2. balíčku mobility. Smyslem revize směrnice je přimět veřejné zadavatele, aby nakupovali „čistá vozidla“. Pro</w:t>
      </w:r>
      <w:r>
        <w:t> </w:t>
      </w:r>
      <w:r w:rsidRPr="002015FE">
        <w:t>tento účel stanoví směrnice jednotlivým státům minimální procentní cíle nakoupených čistých vozidel z</w:t>
      </w:r>
      <w:r w:rsidR="00546698">
        <w:t> </w:t>
      </w:r>
      <w:r w:rsidRPr="002015FE">
        <w:t>celkového počtu nově zakoupených vozidel. V</w:t>
      </w:r>
      <w:r w:rsidR="00546698">
        <w:t> </w:t>
      </w:r>
      <w:r w:rsidRPr="002015FE">
        <w:t xml:space="preserve">případě </w:t>
      </w:r>
      <w:r w:rsidRPr="002015FE">
        <w:rPr>
          <w:u w:val="single"/>
        </w:rPr>
        <w:t>osobních a</w:t>
      </w:r>
      <w:r w:rsidR="00546698">
        <w:rPr>
          <w:u w:val="single"/>
        </w:rPr>
        <w:t> </w:t>
      </w:r>
      <w:r w:rsidRPr="002015FE">
        <w:rPr>
          <w:u w:val="single"/>
        </w:rPr>
        <w:t>lehkých užitkových vozidel byl pro ČR navržen cíl 27 %</w:t>
      </w:r>
      <w:r>
        <w:rPr>
          <w:u w:val="single"/>
        </w:rPr>
        <w:t xml:space="preserve">, </w:t>
      </w:r>
      <w:r w:rsidRPr="00655754">
        <w:t>přičemž v</w:t>
      </w:r>
      <w:r w:rsidR="00546698">
        <w:t> </w:t>
      </w:r>
      <w:r w:rsidRPr="00655754">
        <w:t>rámci vyjednávání mezi Radou a</w:t>
      </w:r>
      <w:r w:rsidR="00546698">
        <w:t> </w:t>
      </w:r>
      <w:r w:rsidRPr="00655754">
        <w:t xml:space="preserve">EP došlo ještě </w:t>
      </w:r>
      <w:r w:rsidRPr="00655754">
        <w:rPr>
          <w:u w:val="single"/>
        </w:rPr>
        <w:t>k</w:t>
      </w:r>
      <w:r w:rsidR="00546698">
        <w:rPr>
          <w:u w:val="single"/>
        </w:rPr>
        <w:t> </w:t>
      </w:r>
      <w:r w:rsidRPr="00655754">
        <w:rPr>
          <w:u w:val="single"/>
        </w:rPr>
        <w:t>navýšení tohoto cíle o</w:t>
      </w:r>
      <w:r w:rsidR="00546698">
        <w:rPr>
          <w:u w:val="single"/>
        </w:rPr>
        <w:t> </w:t>
      </w:r>
      <w:r>
        <w:rPr>
          <w:u w:val="single"/>
        </w:rPr>
        <w:t>desetinu</w:t>
      </w:r>
      <w:r w:rsidRPr="00655754">
        <w:rPr>
          <w:u w:val="single"/>
        </w:rPr>
        <w:t xml:space="preserve"> </w:t>
      </w:r>
      <w:r>
        <w:rPr>
          <w:u w:val="single"/>
        </w:rPr>
        <w:t>n</w:t>
      </w:r>
      <w:r w:rsidRPr="00655754">
        <w:rPr>
          <w:u w:val="single"/>
        </w:rPr>
        <w:t>a výsledných 29,7</w:t>
      </w:r>
      <w:r>
        <w:rPr>
          <w:u w:val="single"/>
        </w:rPr>
        <w:t xml:space="preserve"> </w:t>
      </w:r>
      <w:r w:rsidRPr="00655754">
        <w:rPr>
          <w:u w:val="single"/>
        </w:rPr>
        <w:t>%.</w:t>
      </w:r>
      <w:r w:rsidRPr="002015FE">
        <w:t xml:space="preserve"> U</w:t>
      </w:r>
      <w:r w:rsidR="00546698">
        <w:t> </w:t>
      </w:r>
      <w:r w:rsidRPr="002015FE">
        <w:t>těžkých nákladních vozidel s</w:t>
      </w:r>
      <w:r w:rsidR="00546698">
        <w:t> </w:t>
      </w:r>
      <w:r w:rsidRPr="002015FE">
        <w:t>výjimkou autobusů je sice tento cíl výrazně nižší (9 % pro období do roku 2025 a</w:t>
      </w:r>
      <w:r w:rsidR="00546698">
        <w:t> </w:t>
      </w:r>
      <w:r w:rsidRPr="002015FE">
        <w:t xml:space="preserve">11 % pro následné období do roku 2030), naopak </w:t>
      </w:r>
      <w:r w:rsidRPr="002015FE">
        <w:rPr>
          <w:u w:val="single"/>
        </w:rPr>
        <w:t>u</w:t>
      </w:r>
      <w:r w:rsidR="00546698">
        <w:rPr>
          <w:u w:val="single"/>
        </w:rPr>
        <w:t> </w:t>
      </w:r>
      <w:r w:rsidRPr="002015FE">
        <w:rPr>
          <w:u w:val="single"/>
        </w:rPr>
        <w:t xml:space="preserve">autobusů </w:t>
      </w:r>
      <w:r>
        <w:rPr>
          <w:u w:val="single"/>
        </w:rPr>
        <w:t>byly návrh Komise</w:t>
      </w:r>
      <w:r w:rsidRPr="002015FE">
        <w:rPr>
          <w:u w:val="single"/>
        </w:rPr>
        <w:t xml:space="preserve"> poměrně ambiciózní (46 % pro období do roku 2025 a</w:t>
      </w:r>
      <w:r w:rsidR="00546698">
        <w:rPr>
          <w:u w:val="single"/>
        </w:rPr>
        <w:t> </w:t>
      </w:r>
      <w:r w:rsidRPr="002015FE">
        <w:rPr>
          <w:u w:val="single"/>
        </w:rPr>
        <w:t>70 % pro následné období do roku 2030</w:t>
      </w:r>
      <w:r w:rsidRPr="002015FE">
        <w:t>). Ve výsledném</w:t>
      </w:r>
      <w:r>
        <w:t xml:space="preserve"> </w:t>
      </w:r>
      <w:r w:rsidRPr="002015FE">
        <w:t>kompromisu</w:t>
      </w:r>
      <w:r>
        <w:t xml:space="preserve"> přijatém v</w:t>
      </w:r>
      <w:r w:rsidR="00546698">
        <w:t> </w:t>
      </w:r>
      <w:r>
        <w:t xml:space="preserve">únoru 2019 </w:t>
      </w:r>
      <w:r w:rsidRPr="002015FE">
        <w:t>jsou cíle pro autobusy sice o</w:t>
      </w:r>
      <w:r w:rsidR="00546698">
        <w:t> </w:t>
      </w:r>
      <w:r w:rsidRPr="002015FE">
        <w:t>něco nižší (41</w:t>
      </w:r>
      <w:r>
        <w:t xml:space="preserve"> </w:t>
      </w:r>
      <w:r w:rsidRPr="002015FE">
        <w:t>% pro 2025 a</w:t>
      </w:r>
      <w:r w:rsidR="00546698">
        <w:t> </w:t>
      </w:r>
      <w:r w:rsidRPr="002015FE">
        <w:t>60</w:t>
      </w:r>
      <w:r>
        <w:t xml:space="preserve"> </w:t>
      </w:r>
      <w:r w:rsidRPr="002015FE">
        <w:t xml:space="preserve">% pro rok 2030), zato však platí podmínka, že </w:t>
      </w:r>
      <w:r w:rsidRPr="002015FE">
        <w:rPr>
          <w:u w:val="single"/>
        </w:rPr>
        <w:t>50</w:t>
      </w:r>
      <w:r w:rsidR="00365E96">
        <w:rPr>
          <w:u w:val="single"/>
        </w:rPr>
        <w:t> </w:t>
      </w:r>
      <w:r w:rsidRPr="002015FE">
        <w:rPr>
          <w:u w:val="single"/>
        </w:rPr>
        <w:t>% z</w:t>
      </w:r>
      <w:r w:rsidR="00546698">
        <w:rPr>
          <w:u w:val="single"/>
        </w:rPr>
        <w:t> </w:t>
      </w:r>
      <w:r w:rsidRPr="002015FE">
        <w:rPr>
          <w:u w:val="single"/>
        </w:rPr>
        <w:t>uvedeného cíle je třeba splnit prostřednictvím nákupu bezemisních vozidel</w:t>
      </w:r>
      <w:r w:rsidRPr="002015FE">
        <w:t xml:space="preserve"> (tedy elektrických a</w:t>
      </w:r>
      <w:r w:rsidR="00546698">
        <w:t> </w:t>
      </w:r>
      <w:r w:rsidRPr="002015FE">
        <w:t xml:space="preserve">vodíkových autobusů). </w:t>
      </w:r>
    </w:p>
    <w:p w14:paraId="3273E898" w14:textId="77777777" w:rsidR="001B4719" w:rsidRPr="002015FE" w:rsidRDefault="001B4719" w:rsidP="001B4719">
      <w:pPr>
        <w:jc w:val="both"/>
      </w:pPr>
      <w:r w:rsidRPr="002015FE">
        <w:t xml:space="preserve">Důležitou skutečností je, že </w:t>
      </w:r>
      <w:r w:rsidRPr="002015FE">
        <w:rPr>
          <w:u w:val="single"/>
        </w:rPr>
        <w:t>v</w:t>
      </w:r>
      <w:r w:rsidR="00546698">
        <w:rPr>
          <w:u w:val="single"/>
        </w:rPr>
        <w:t> </w:t>
      </w:r>
      <w:r w:rsidRPr="002015FE">
        <w:rPr>
          <w:u w:val="single"/>
        </w:rPr>
        <w:t>případě osobních a</w:t>
      </w:r>
      <w:r w:rsidR="00546698">
        <w:rPr>
          <w:u w:val="single"/>
        </w:rPr>
        <w:t> </w:t>
      </w:r>
      <w:r w:rsidRPr="002015FE">
        <w:rPr>
          <w:u w:val="single"/>
        </w:rPr>
        <w:t>lehkých užitkových vozidel nová směrnice výrazně zpřísňuje koncept „čisté mobility“ resp. „čistého vozidla“ oproti směrnici 2014/94/EU.</w:t>
      </w:r>
      <w:r>
        <w:t xml:space="preserve"> </w:t>
      </w:r>
      <w:r w:rsidRPr="002015FE">
        <w:t xml:space="preserve">Podle této nové legislativy se bude tato definice vztahovat jen na osobní vozidla, která nepřekračují limit </w:t>
      </w:r>
      <w:r w:rsidRPr="002015FE">
        <w:rPr>
          <w:u w:val="single"/>
        </w:rPr>
        <w:t>50</w:t>
      </w:r>
      <w:r w:rsidR="00365E96">
        <w:rPr>
          <w:u w:val="single"/>
        </w:rPr>
        <w:t> </w:t>
      </w:r>
      <w:r w:rsidRPr="002015FE">
        <w:rPr>
          <w:u w:val="single"/>
        </w:rPr>
        <w:t>g</w:t>
      </w:r>
      <w:r w:rsidR="00365E96">
        <w:rPr>
          <w:u w:val="single"/>
        </w:rPr>
        <w:t> </w:t>
      </w:r>
      <w:r w:rsidRPr="002015FE">
        <w:rPr>
          <w:u w:val="single"/>
        </w:rPr>
        <w:t>CO</w:t>
      </w:r>
      <w:r w:rsidRPr="002015FE">
        <w:rPr>
          <w:u w:val="single"/>
          <w:vertAlign w:val="subscript"/>
        </w:rPr>
        <w:t>2</w:t>
      </w:r>
      <w:r w:rsidRPr="002015FE">
        <w:rPr>
          <w:u w:val="single"/>
        </w:rPr>
        <w:t>/km,</w:t>
      </w:r>
      <w:r w:rsidRPr="002015FE">
        <w:t xml:space="preserve"> s</w:t>
      </w:r>
      <w:r w:rsidR="00546698">
        <w:t> </w:t>
      </w:r>
      <w:r w:rsidRPr="002015FE">
        <w:t>tím, že pro období po roce 2025 sem budou spadat již jen vozidla s</w:t>
      </w:r>
      <w:r w:rsidR="00546698">
        <w:rPr>
          <w:u w:val="single"/>
        </w:rPr>
        <w:t> </w:t>
      </w:r>
      <w:r w:rsidRPr="002015FE">
        <w:t xml:space="preserve">nulovými emisemi. </w:t>
      </w:r>
      <w:r w:rsidRPr="002015FE">
        <w:rPr>
          <w:u w:val="single"/>
        </w:rPr>
        <w:t>U</w:t>
      </w:r>
      <w:r w:rsidR="00546698">
        <w:rPr>
          <w:u w:val="single"/>
        </w:rPr>
        <w:t> </w:t>
      </w:r>
      <w:r w:rsidRPr="002015FE">
        <w:rPr>
          <w:u w:val="single"/>
        </w:rPr>
        <w:t>těžkých nákladních vozidel</w:t>
      </w:r>
      <w:r w:rsidRPr="002015FE">
        <w:t xml:space="preserve"> (včetně autobusů) sice samotná definice čistého vozidla dle této směrnice stále počítá s</w:t>
      </w:r>
      <w:r w:rsidR="00546698">
        <w:t> </w:t>
      </w:r>
      <w:r w:rsidRPr="002015FE">
        <w:t xml:space="preserve">tím, že by sem měla spadat </w:t>
      </w:r>
      <w:r w:rsidRPr="002015FE">
        <w:rPr>
          <w:u w:val="single"/>
        </w:rPr>
        <w:t>vozidla na</w:t>
      </w:r>
      <w:r>
        <w:rPr>
          <w:u w:val="single"/>
        </w:rPr>
        <w:t> </w:t>
      </w:r>
      <w:r w:rsidRPr="002015FE">
        <w:rPr>
          <w:u w:val="single"/>
        </w:rPr>
        <w:t>všechny základní typy alternativních paliv (tedy včetně zemního plynu)</w:t>
      </w:r>
      <w:r w:rsidRPr="002015FE">
        <w:t>, v</w:t>
      </w:r>
      <w:r w:rsidR="00546698">
        <w:t> </w:t>
      </w:r>
      <w:r w:rsidRPr="002015FE">
        <w:t>případě zmiňovaných autobusů je však velký důraz kladen opět na rozvoj bezemisních (tedy elektrických a</w:t>
      </w:r>
      <w:r w:rsidR="00546698">
        <w:t> </w:t>
      </w:r>
      <w:r w:rsidRPr="002015FE">
        <w:t>vodíkových) vozidel</w:t>
      </w:r>
      <w:r>
        <w:t>, včetně trolejbusů</w:t>
      </w:r>
      <w:r w:rsidRPr="002015FE">
        <w:t>. Ve vztahu k</w:t>
      </w:r>
      <w:r w:rsidR="00546698">
        <w:t> </w:t>
      </w:r>
      <w:r w:rsidRPr="002015FE">
        <w:t xml:space="preserve">tomuto novému vymezení pojmu „čisté vozidlo“ je nicméně třeba říct, že tato </w:t>
      </w:r>
      <w:r w:rsidRPr="002015FE">
        <w:rPr>
          <w:u w:val="single"/>
        </w:rPr>
        <w:t>nová legislativa nikterak nenutí ČR, aby přehodnotila své vnitrostátní cíle, pokud jde o</w:t>
      </w:r>
      <w:r w:rsidR="00546698">
        <w:rPr>
          <w:u w:val="single"/>
        </w:rPr>
        <w:t> </w:t>
      </w:r>
      <w:r w:rsidRPr="002015FE">
        <w:rPr>
          <w:u w:val="single"/>
        </w:rPr>
        <w:t>využívání zemního plynu v</w:t>
      </w:r>
      <w:r w:rsidR="00546698">
        <w:rPr>
          <w:u w:val="single"/>
        </w:rPr>
        <w:t> </w:t>
      </w:r>
      <w:r w:rsidRPr="002015FE">
        <w:rPr>
          <w:u w:val="single"/>
        </w:rPr>
        <w:t>dopravě</w:t>
      </w:r>
      <w:r w:rsidRPr="002015FE">
        <w:t>. Stále totiž platí celkový rámec pro oblast čisté mobility daný směrnicí 2014/94/EU.</w:t>
      </w:r>
      <w:r>
        <w:t xml:space="preserve"> </w:t>
      </w:r>
      <w:r w:rsidRPr="002015FE">
        <w:t xml:space="preserve"> </w:t>
      </w:r>
    </w:p>
    <w:p w14:paraId="23AEE790" w14:textId="77777777" w:rsidR="001B4719" w:rsidRPr="002015FE" w:rsidRDefault="001B4719" w:rsidP="001B4719">
      <w:pPr>
        <w:jc w:val="both"/>
        <w:rPr>
          <w:color w:val="000000"/>
        </w:rPr>
      </w:pPr>
      <w:r w:rsidRPr="002015FE">
        <w:t>Z legislativních iniciativ EK přijatých v</w:t>
      </w:r>
      <w:r w:rsidR="00546698">
        <w:t> </w:t>
      </w:r>
      <w:r w:rsidRPr="002015FE">
        <w:t xml:space="preserve">poslední době je třeba zmínit též </w:t>
      </w:r>
      <w:r w:rsidRPr="002015FE">
        <w:rPr>
          <w:b/>
        </w:rPr>
        <w:t>revize směrnice 2010/31/EU o</w:t>
      </w:r>
      <w:r w:rsidR="00546698">
        <w:rPr>
          <w:b/>
        </w:rPr>
        <w:t> </w:t>
      </w:r>
      <w:r w:rsidRPr="002015FE">
        <w:rPr>
          <w:b/>
        </w:rPr>
        <w:t xml:space="preserve">energetické účinnosti budov (směrnice 2018/844/EU). </w:t>
      </w:r>
      <w:r w:rsidRPr="002015FE">
        <w:t>Ta obsahuje</w:t>
      </w:r>
      <w:r w:rsidRPr="002015FE">
        <w:rPr>
          <w:b/>
        </w:rPr>
        <w:t xml:space="preserve"> </w:t>
      </w:r>
      <w:r w:rsidRPr="002015FE">
        <w:t>požadavek na členské státy, aby v</w:t>
      </w:r>
      <w:r w:rsidR="00546698">
        <w:t> </w:t>
      </w:r>
      <w:r w:rsidRPr="002015FE">
        <w:t xml:space="preserve">případě </w:t>
      </w:r>
      <w:r w:rsidRPr="002015FE">
        <w:rPr>
          <w:u w:val="single"/>
        </w:rPr>
        <w:t>jiných než obytných budov</w:t>
      </w:r>
      <w:r w:rsidRPr="002015FE">
        <w:t xml:space="preserve"> a</w:t>
      </w:r>
      <w:r w:rsidR="00546698">
        <w:t> </w:t>
      </w:r>
      <w:r w:rsidRPr="002015FE">
        <w:t>v</w:t>
      </w:r>
      <w:r>
        <w:t> </w:t>
      </w:r>
      <w:r w:rsidRPr="002015FE">
        <w:t xml:space="preserve">případě již zbudovaných takovýchto budov, pokud </w:t>
      </w:r>
      <w:r w:rsidRPr="002015FE">
        <w:rPr>
          <w:color w:val="000000"/>
        </w:rPr>
        <w:t xml:space="preserve">procházející větší renovací, zajistily </w:t>
      </w:r>
      <w:r w:rsidRPr="002015FE">
        <w:rPr>
          <w:color w:val="000000"/>
          <w:u w:val="single"/>
        </w:rPr>
        <w:t>instalaci nejméně jedné dobíjecí stanice ve smyslu směrnice Evropského parlamentu a</w:t>
      </w:r>
      <w:r w:rsidR="00546698">
        <w:rPr>
          <w:color w:val="000000"/>
          <w:u w:val="single"/>
        </w:rPr>
        <w:t> </w:t>
      </w:r>
      <w:r w:rsidRPr="002015FE">
        <w:rPr>
          <w:color w:val="000000"/>
          <w:u w:val="single"/>
        </w:rPr>
        <w:t>Rady 2014/94/EU a</w:t>
      </w:r>
      <w:r w:rsidR="00546698">
        <w:rPr>
          <w:color w:val="000000"/>
          <w:u w:val="single"/>
        </w:rPr>
        <w:t> </w:t>
      </w:r>
      <w:r w:rsidRPr="002015FE">
        <w:rPr>
          <w:color w:val="000000"/>
          <w:u w:val="single"/>
        </w:rPr>
        <w:t>vedení elektrických kabelů, nejméně pro každé páté parkovací místo</w:t>
      </w:r>
      <w:r w:rsidRPr="002015FE">
        <w:rPr>
          <w:color w:val="000000"/>
        </w:rPr>
        <w:t>, aby byla v</w:t>
      </w:r>
      <w:r w:rsidR="00546698">
        <w:rPr>
          <w:color w:val="000000"/>
        </w:rPr>
        <w:t> </w:t>
      </w:r>
      <w:r w:rsidRPr="002015FE">
        <w:rPr>
          <w:color w:val="000000"/>
        </w:rPr>
        <w:t>pozdější fázi umožněna instalace dobíjecích stanic pro elektrická vozidla. V</w:t>
      </w:r>
      <w:r w:rsidR="00546698">
        <w:rPr>
          <w:color w:val="000000"/>
        </w:rPr>
        <w:t> </w:t>
      </w:r>
      <w:r w:rsidRPr="002015FE">
        <w:rPr>
          <w:color w:val="000000"/>
        </w:rPr>
        <w:t xml:space="preserve">případě </w:t>
      </w:r>
      <w:r w:rsidRPr="002015FE">
        <w:rPr>
          <w:color w:val="000000"/>
          <w:u w:val="single"/>
        </w:rPr>
        <w:t>nových obytných budov</w:t>
      </w:r>
      <w:r w:rsidRPr="002015FE">
        <w:rPr>
          <w:color w:val="000000"/>
        </w:rPr>
        <w:t xml:space="preserve"> a</w:t>
      </w:r>
      <w:r w:rsidR="00546698">
        <w:rPr>
          <w:color w:val="000000"/>
        </w:rPr>
        <w:t> </w:t>
      </w:r>
      <w:r w:rsidRPr="002015FE">
        <w:rPr>
          <w:color w:val="000000"/>
        </w:rPr>
        <w:t xml:space="preserve">obytných budov procházejících větší renovací, pak mají členské státy zajistit </w:t>
      </w:r>
      <w:r w:rsidRPr="002015FE">
        <w:rPr>
          <w:color w:val="000000"/>
          <w:u w:val="single"/>
        </w:rPr>
        <w:t>instalaci vedení pro elektrické kabely, pro každé parkovací místo</w:t>
      </w:r>
      <w:r w:rsidRPr="002015FE">
        <w:rPr>
          <w:color w:val="000000"/>
        </w:rPr>
        <w:t>, aby byla v</w:t>
      </w:r>
      <w:r w:rsidR="00546698">
        <w:rPr>
          <w:color w:val="000000"/>
        </w:rPr>
        <w:t> </w:t>
      </w:r>
      <w:r w:rsidRPr="002015FE">
        <w:rPr>
          <w:color w:val="000000"/>
        </w:rPr>
        <w:t>pozdější fázi umožněna instalace dobíjecích stanic pro elektrická vozidla. V</w:t>
      </w:r>
      <w:r w:rsidR="00546698">
        <w:rPr>
          <w:color w:val="000000"/>
        </w:rPr>
        <w:t> </w:t>
      </w:r>
      <w:r w:rsidRPr="002015FE">
        <w:rPr>
          <w:color w:val="000000"/>
        </w:rPr>
        <w:t>obou těchto případ</w:t>
      </w:r>
      <w:r>
        <w:rPr>
          <w:color w:val="000000"/>
        </w:rPr>
        <w:t>ech</w:t>
      </w:r>
      <w:r w:rsidRPr="002015FE">
        <w:rPr>
          <w:color w:val="000000"/>
        </w:rPr>
        <w:t xml:space="preserve"> se tento požadavek týká </w:t>
      </w:r>
      <w:r w:rsidRPr="002015FE">
        <w:rPr>
          <w:color w:val="000000"/>
          <w:u w:val="single"/>
        </w:rPr>
        <w:t>budov, které mají více než deset parkovacích míst a</w:t>
      </w:r>
      <w:r w:rsidR="00546698">
        <w:rPr>
          <w:color w:val="000000"/>
          <w:u w:val="single"/>
        </w:rPr>
        <w:t> </w:t>
      </w:r>
      <w:r w:rsidRPr="002015FE">
        <w:rPr>
          <w:color w:val="000000"/>
          <w:u w:val="single"/>
        </w:rPr>
        <w:t>u</w:t>
      </w:r>
      <w:r>
        <w:rPr>
          <w:color w:val="000000"/>
          <w:u w:val="single"/>
        </w:rPr>
        <w:t> </w:t>
      </w:r>
      <w:r w:rsidRPr="002015FE">
        <w:rPr>
          <w:color w:val="000000"/>
          <w:u w:val="single"/>
        </w:rPr>
        <w:t>nichž žádosti o</w:t>
      </w:r>
      <w:r w:rsidR="00546698">
        <w:rPr>
          <w:color w:val="000000"/>
          <w:u w:val="single"/>
        </w:rPr>
        <w:t> </w:t>
      </w:r>
      <w:r w:rsidRPr="002015FE">
        <w:rPr>
          <w:color w:val="000000"/>
          <w:u w:val="single"/>
        </w:rPr>
        <w:t>stavební povolení či rovnocenné žádosti byly podány před 10. březnem 2021</w:t>
      </w:r>
      <w:r w:rsidRPr="002015FE">
        <w:rPr>
          <w:color w:val="000000"/>
        </w:rPr>
        <w:t xml:space="preserve">. Tyto požadavky je přitom třeba implementovat do vnitrostátního práva </w:t>
      </w:r>
      <w:r w:rsidRPr="002015FE">
        <w:t xml:space="preserve">ČR do </w:t>
      </w:r>
      <w:r w:rsidRPr="002015FE">
        <w:rPr>
          <w:color w:val="000000"/>
        </w:rPr>
        <w:t xml:space="preserve">10. března 2020, kdy </w:t>
      </w:r>
      <w:r w:rsidRPr="002015FE">
        <w:rPr>
          <w:color w:val="000000"/>
        </w:rPr>
        <w:lastRenderedPageBreak/>
        <w:t xml:space="preserve">končí lhůta pro transpozici uvedené směrnice. </w:t>
      </w:r>
      <w:r w:rsidRPr="002015FE">
        <w:rPr>
          <w:color w:val="000000"/>
          <w:u w:val="single"/>
        </w:rPr>
        <w:t>Do 1. ledna 2025 pak mají členské státy povinnost rovněž stanovit požadavky týkající se instalace minimálního počtu dobíjecích stanic do všech jiných než obytných budov s</w:t>
      </w:r>
      <w:r w:rsidR="00546698">
        <w:rPr>
          <w:color w:val="000000"/>
          <w:u w:val="single"/>
        </w:rPr>
        <w:t> </w:t>
      </w:r>
      <w:r w:rsidRPr="002015FE">
        <w:rPr>
          <w:color w:val="000000"/>
          <w:u w:val="single"/>
        </w:rPr>
        <w:t>více než dvaceti parkovacími místy</w:t>
      </w:r>
      <w:r w:rsidRPr="002015FE">
        <w:rPr>
          <w:color w:val="000000"/>
        </w:rPr>
        <w:t>.</w:t>
      </w:r>
      <w:r w:rsidRPr="002015FE">
        <w:t xml:space="preserve"> T</w:t>
      </w:r>
      <w:r w:rsidRPr="002015FE">
        <w:rPr>
          <w:color w:val="000000"/>
        </w:rPr>
        <w:t>ento požadavek se tak týká i</w:t>
      </w:r>
      <w:r w:rsidR="00546698">
        <w:rPr>
          <w:color w:val="000000"/>
        </w:rPr>
        <w:t> </w:t>
      </w:r>
      <w:r w:rsidRPr="002015FE">
        <w:rPr>
          <w:color w:val="000000"/>
        </w:rPr>
        <w:t>budov zbudovaných před vstupem této směrnice v</w:t>
      </w:r>
      <w:r w:rsidR="00546698">
        <w:rPr>
          <w:color w:val="000000"/>
        </w:rPr>
        <w:t> </w:t>
      </w:r>
      <w:r w:rsidRPr="002015FE">
        <w:rPr>
          <w:color w:val="000000"/>
        </w:rPr>
        <w:t>účinnost.</w:t>
      </w:r>
      <w:r>
        <w:rPr>
          <w:color w:val="000000"/>
        </w:rPr>
        <w:t xml:space="preserve"> </w:t>
      </w:r>
      <w:r w:rsidRPr="002015FE">
        <w:rPr>
          <w:color w:val="000000"/>
        </w:rPr>
        <w:t>V</w:t>
      </w:r>
      <w:r w:rsidR="00546698">
        <w:rPr>
          <w:color w:val="000000"/>
        </w:rPr>
        <w:t> </w:t>
      </w:r>
      <w:r w:rsidRPr="002015FE">
        <w:rPr>
          <w:color w:val="000000"/>
        </w:rPr>
        <w:t>neposlední řad</w:t>
      </w:r>
      <w:r>
        <w:rPr>
          <w:color w:val="000000"/>
        </w:rPr>
        <w:t>ě</w:t>
      </w:r>
      <w:r w:rsidRPr="002015FE">
        <w:rPr>
          <w:color w:val="000000"/>
        </w:rPr>
        <w:t xml:space="preserve"> pak směrnice obsahuje požadavek na členské státy stanovit </w:t>
      </w:r>
      <w:r w:rsidRPr="002015FE">
        <w:rPr>
          <w:color w:val="000000"/>
          <w:u w:val="single"/>
        </w:rPr>
        <w:t>opatření v</w:t>
      </w:r>
      <w:r w:rsidR="00546698">
        <w:rPr>
          <w:color w:val="000000"/>
          <w:u w:val="single"/>
        </w:rPr>
        <w:t> </w:t>
      </w:r>
      <w:r w:rsidRPr="002015FE">
        <w:rPr>
          <w:color w:val="000000"/>
          <w:u w:val="single"/>
        </w:rPr>
        <w:t>zájmu jednoduššího zavádění dobíjecích stanic v</w:t>
      </w:r>
      <w:r w:rsidR="00546698">
        <w:rPr>
          <w:color w:val="000000"/>
          <w:u w:val="single"/>
        </w:rPr>
        <w:t> </w:t>
      </w:r>
      <w:r w:rsidRPr="002015FE">
        <w:rPr>
          <w:color w:val="000000"/>
          <w:u w:val="single"/>
        </w:rPr>
        <w:t>nových i</w:t>
      </w:r>
      <w:r w:rsidR="00546698">
        <w:rPr>
          <w:color w:val="000000"/>
          <w:u w:val="single"/>
        </w:rPr>
        <w:t> </w:t>
      </w:r>
      <w:r w:rsidRPr="002015FE">
        <w:rPr>
          <w:color w:val="000000"/>
          <w:u w:val="single"/>
        </w:rPr>
        <w:t>stávajících obytných i</w:t>
      </w:r>
      <w:r w:rsidR="00546698">
        <w:rPr>
          <w:color w:val="000000"/>
          <w:u w:val="single"/>
        </w:rPr>
        <w:t> </w:t>
      </w:r>
      <w:r w:rsidRPr="002015FE">
        <w:rPr>
          <w:color w:val="000000"/>
          <w:u w:val="single"/>
        </w:rPr>
        <w:t>jiných než obytných budovách a</w:t>
      </w:r>
      <w:r w:rsidR="00546698">
        <w:rPr>
          <w:color w:val="000000"/>
          <w:u w:val="single"/>
        </w:rPr>
        <w:t> </w:t>
      </w:r>
      <w:r w:rsidRPr="002015FE">
        <w:rPr>
          <w:color w:val="000000"/>
          <w:u w:val="single"/>
        </w:rPr>
        <w:t>zabývají se případnými regulačními překážkami, včetně povolovacích a</w:t>
      </w:r>
      <w:r w:rsidR="00546698">
        <w:rPr>
          <w:color w:val="000000"/>
          <w:u w:val="single"/>
        </w:rPr>
        <w:t> </w:t>
      </w:r>
      <w:r w:rsidRPr="002015FE">
        <w:rPr>
          <w:color w:val="000000"/>
          <w:u w:val="single"/>
        </w:rPr>
        <w:t>schvalovacích postupů.</w:t>
      </w:r>
      <w:r w:rsidRPr="002015FE">
        <w:rPr>
          <w:color w:val="000000"/>
        </w:rPr>
        <w:t xml:space="preserve"> Jak je z</w:t>
      </w:r>
      <w:r w:rsidR="00546698">
        <w:rPr>
          <w:color w:val="000000"/>
        </w:rPr>
        <w:t> </w:t>
      </w:r>
      <w:r w:rsidRPr="002015FE">
        <w:rPr>
          <w:color w:val="000000"/>
        </w:rPr>
        <w:t>výše uvedeného zřejmé, může implementace požadavků této nové směrnice představovat pro sektor elektromobility výraznou příležitost. V</w:t>
      </w:r>
      <w:r w:rsidR="00546698">
        <w:rPr>
          <w:color w:val="000000"/>
        </w:rPr>
        <w:t> </w:t>
      </w:r>
      <w:r w:rsidRPr="002015FE">
        <w:rPr>
          <w:color w:val="000000"/>
        </w:rPr>
        <w:t>této souvislosti je třeba konstatovat, že směrnice stanoví minimální požadavky a</w:t>
      </w:r>
      <w:r w:rsidR="00546698">
        <w:rPr>
          <w:color w:val="000000"/>
        </w:rPr>
        <w:t> </w:t>
      </w:r>
      <w:r w:rsidRPr="002015FE">
        <w:rPr>
          <w:color w:val="000000"/>
        </w:rPr>
        <w:t>členské státy s</w:t>
      </w:r>
      <w:r>
        <w:rPr>
          <w:color w:val="000000"/>
        </w:rPr>
        <w:t>i</w:t>
      </w:r>
      <w:r w:rsidRPr="002015FE">
        <w:rPr>
          <w:color w:val="000000"/>
        </w:rPr>
        <w:t xml:space="preserve"> mohou </w:t>
      </w:r>
      <w:r>
        <w:rPr>
          <w:color w:val="000000"/>
        </w:rPr>
        <w:t>n</w:t>
      </w:r>
      <w:r w:rsidRPr="002015FE">
        <w:rPr>
          <w:color w:val="000000"/>
        </w:rPr>
        <w:t>a národní úrovni stanovit požadavky přísnější.</w:t>
      </w:r>
      <w:r>
        <w:rPr>
          <w:color w:val="000000"/>
        </w:rPr>
        <w:t xml:space="preserve"> </w:t>
      </w:r>
    </w:p>
    <w:p w14:paraId="07F638B6" w14:textId="77777777" w:rsidR="001B4719" w:rsidRPr="002015FE" w:rsidRDefault="001B4719" w:rsidP="001B4719">
      <w:pPr>
        <w:pStyle w:val="Nadpis3"/>
        <w:numPr>
          <w:ilvl w:val="2"/>
          <w:numId w:val="9"/>
        </w:numPr>
        <w:tabs>
          <w:tab w:val="left" w:pos="851"/>
          <w:tab w:val="num" w:pos="2411"/>
        </w:tabs>
        <w:ind w:left="284" w:firstLine="0"/>
        <w:jc w:val="both"/>
      </w:pPr>
      <w:bookmarkStart w:id="30" w:name="_Toc19792276"/>
      <w:bookmarkStart w:id="31" w:name="_Toc25084450"/>
      <w:bookmarkStart w:id="32" w:name="_Toc25136758"/>
      <w:bookmarkStart w:id="33" w:name="_Toc34295884"/>
      <w:r w:rsidRPr="002015FE">
        <w:t xml:space="preserve">Doporučení Komise vyplývající </w:t>
      </w:r>
      <w:r>
        <w:t xml:space="preserve">pro ČR </w:t>
      </w:r>
      <w:r w:rsidRPr="002015FE">
        <w:t>z</w:t>
      </w:r>
      <w:r w:rsidR="00546698">
        <w:t> </w:t>
      </w:r>
      <w:r w:rsidRPr="002015FE">
        <w:t>jejího posouzení vnitrostátních rámců politiky podle čl. 10 odst. 2 směrnice 2014/94/EU</w:t>
      </w:r>
      <w:bookmarkEnd w:id="30"/>
      <w:bookmarkEnd w:id="31"/>
      <w:bookmarkEnd w:id="32"/>
      <w:bookmarkEnd w:id="33"/>
      <w:r w:rsidRPr="002015FE">
        <w:t xml:space="preserve"> </w:t>
      </w:r>
    </w:p>
    <w:p w14:paraId="0BEA56D7" w14:textId="77777777" w:rsidR="001B4719" w:rsidRPr="002015FE" w:rsidRDefault="001B4719" w:rsidP="001B4719">
      <w:pPr>
        <w:jc w:val="both"/>
      </w:pPr>
      <w:r w:rsidRPr="002015FE">
        <w:t>Jedním z</w:t>
      </w:r>
      <w:r w:rsidR="00546698">
        <w:t> </w:t>
      </w:r>
      <w:r w:rsidRPr="002015FE">
        <w:t xml:space="preserve">cílů původního NAP CM bylo </w:t>
      </w:r>
      <w:r>
        <w:t>na</w:t>
      </w:r>
      <w:r w:rsidRPr="002015FE">
        <w:t xml:space="preserve">plnit požadavek čl. 3 </w:t>
      </w:r>
      <w:r w:rsidRPr="002015FE">
        <w:rPr>
          <w:b/>
        </w:rPr>
        <w:t>směrnice 2014/94/EU</w:t>
      </w:r>
      <w:r w:rsidRPr="002015FE">
        <w:t xml:space="preserve"> na</w:t>
      </w:r>
      <w:r>
        <w:t> </w:t>
      </w:r>
      <w:r w:rsidRPr="002015FE">
        <w:t>vypracování vnitrostátního rámce politiky členských států pro rozvoj trhu alternativních paliv v</w:t>
      </w:r>
      <w:r w:rsidR="00546698">
        <w:t> </w:t>
      </w:r>
      <w:r w:rsidRPr="002015FE">
        <w:t>odvětví dopravy a</w:t>
      </w:r>
      <w:r w:rsidR="00546698">
        <w:t> </w:t>
      </w:r>
      <w:r w:rsidRPr="002015FE">
        <w:t>zavádění příslušné infrastruktury. Jeví se proto jako žádoucí, aby v</w:t>
      </w:r>
      <w:r w:rsidR="00546698">
        <w:t> </w:t>
      </w:r>
      <w:r w:rsidRPr="002015FE">
        <w:t>rámci aktualizace tohoto dokumentu byla zohledněna doporučení Komise ve vztahu k</w:t>
      </w:r>
      <w:r w:rsidR="00546698">
        <w:t> </w:t>
      </w:r>
      <w:r w:rsidRPr="002015FE">
        <w:t>vnitrostátním rámcům politiky obsažená jednak ve výše uvedeném Sdělení z</w:t>
      </w:r>
      <w:r w:rsidR="00546698">
        <w:t> </w:t>
      </w:r>
      <w:r w:rsidRPr="002015FE">
        <w:t>listopadu 2017 obsahující Akční plán pro zavádění infrastruktury pro alternativní paliva a</w:t>
      </w:r>
      <w:r w:rsidR="00546698">
        <w:t> </w:t>
      </w:r>
      <w:r w:rsidRPr="002015FE">
        <w:t>dále pak v</w:t>
      </w:r>
      <w:r w:rsidR="00546698">
        <w:t> </w:t>
      </w:r>
      <w:r w:rsidRPr="002015FE">
        <w:t>především v</w:t>
      </w:r>
      <w:r w:rsidR="00546698">
        <w:t> </w:t>
      </w:r>
      <w:r w:rsidRPr="002015FE">
        <w:t xml:space="preserve">detailním posouzení vnitrostátních rámců politiky, které je přílohou zmiňovaného Sdělení. </w:t>
      </w:r>
    </w:p>
    <w:p w14:paraId="38123CD7" w14:textId="77777777" w:rsidR="001B4719" w:rsidRPr="002015FE" w:rsidRDefault="001B4719" w:rsidP="001B4719">
      <w:pPr>
        <w:jc w:val="both"/>
      </w:pPr>
      <w:r w:rsidRPr="002015FE">
        <w:t>Pokud jde o</w:t>
      </w:r>
      <w:r w:rsidR="00546698">
        <w:t> </w:t>
      </w:r>
      <w:r w:rsidRPr="002015FE">
        <w:t>obecná doporučení, EK v</w:t>
      </w:r>
      <w:r w:rsidR="00546698">
        <w:t> </w:t>
      </w:r>
      <w:r w:rsidRPr="002015FE">
        <w:t>první řadě žádá státy, aby v</w:t>
      </w:r>
      <w:r w:rsidR="00546698">
        <w:t> </w:t>
      </w:r>
      <w:r w:rsidRPr="002015FE">
        <w:t>případě, že jsou podpůrná opatření ve vnitrostátních rámcích politiky klasifikována jako „zvažovaná“ nebo „přijímaná“, situaci vyjasnily a</w:t>
      </w:r>
      <w:r w:rsidR="00546698">
        <w:t> </w:t>
      </w:r>
      <w:r w:rsidRPr="002015FE">
        <w:t>daná opatření rychle přijaly, nebo vypustily. Dále jsou členské státy ze strany EK žádány, aby do úprav a</w:t>
      </w:r>
      <w:r w:rsidR="00546698">
        <w:t> </w:t>
      </w:r>
      <w:r w:rsidRPr="002015FE">
        <w:t>realizace vnitrostátních rámců politiky aktivně zapojily všechny relevantní zúčastněné strany s</w:t>
      </w:r>
      <w:r w:rsidR="00546698">
        <w:t> </w:t>
      </w:r>
      <w:r w:rsidRPr="002015FE">
        <w:t>cílem zajistit synchronizované zavádění vozidel a</w:t>
      </w:r>
      <w:r w:rsidR="00546698">
        <w:t> </w:t>
      </w:r>
      <w:r w:rsidRPr="002015FE">
        <w:t>infrastruktury, integraci dopravních a</w:t>
      </w:r>
      <w:r w:rsidR="00546698">
        <w:t> </w:t>
      </w:r>
      <w:r w:rsidRPr="002015FE">
        <w:t>energetických systémů a</w:t>
      </w:r>
      <w:r w:rsidR="00546698">
        <w:t> </w:t>
      </w:r>
      <w:r w:rsidRPr="002015FE">
        <w:t xml:space="preserve">přijetí ze strany spotřebitelů. </w:t>
      </w:r>
    </w:p>
    <w:p w14:paraId="2EB4C991" w14:textId="77777777" w:rsidR="001B4719" w:rsidRPr="002015FE" w:rsidRDefault="001B4719" w:rsidP="001B4719">
      <w:pPr>
        <w:jc w:val="both"/>
      </w:pPr>
      <w:r w:rsidRPr="002015FE">
        <w:t xml:space="preserve">Ve specifickém hodnocení vnitrostátního rámce politiky ČR pak </w:t>
      </w:r>
      <w:r w:rsidRPr="002015FE">
        <w:rPr>
          <w:u w:val="single"/>
        </w:rPr>
        <w:t>EK v</w:t>
      </w:r>
      <w:r w:rsidR="00546698">
        <w:rPr>
          <w:u w:val="single"/>
        </w:rPr>
        <w:t> </w:t>
      </w:r>
      <w:r w:rsidRPr="002015FE">
        <w:rPr>
          <w:u w:val="single"/>
        </w:rPr>
        <w:t>souvislosti s</w:t>
      </w:r>
      <w:r w:rsidR="00546698">
        <w:rPr>
          <w:u w:val="single"/>
        </w:rPr>
        <w:t> </w:t>
      </w:r>
      <w:r w:rsidRPr="002015FE">
        <w:rPr>
          <w:u w:val="single"/>
        </w:rPr>
        <w:t>oblastí elektromobility konstatuje, že v</w:t>
      </w:r>
      <w:r w:rsidR="00546698">
        <w:rPr>
          <w:u w:val="single"/>
        </w:rPr>
        <w:t> </w:t>
      </w:r>
      <w:r w:rsidRPr="002015FE">
        <w:rPr>
          <w:u w:val="single"/>
        </w:rPr>
        <w:t>porovnání s</w:t>
      </w:r>
      <w:r w:rsidR="00546698">
        <w:rPr>
          <w:u w:val="single"/>
        </w:rPr>
        <w:t> </w:t>
      </w:r>
      <w:r w:rsidRPr="002015FE">
        <w:rPr>
          <w:u w:val="single"/>
        </w:rPr>
        <w:t>některými jinými státy EU klade ČR na oblast elektromobility spíše menší důraz,</w:t>
      </w:r>
      <w:r w:rsidRPr="002015FE">
        <w:t xml:space="preserve"> čemuž odpovídá její predikce, pokud jde o</w:t>
      </w:r>
      <w:r w:rsidR="00546698">
        <w:t> </w:t>
      </w:r>
      <w:r w:rsidRPr="002015FE">
        <w:t>procentní podíl elektrických vozidel na českých silnicích ve výši pouhých 0,35%</w:t>
      </w:r>
      <w:r>
        <w:t xml:space="preserve"> k</w:t>
      </w:r>
      <w:r w:rsidR="00546698">
        <w:t> </w:t>
      </w:r>
      <w:r>
        <w:t>roku 2020</w:t>
      </w:r>
      <w:r w:rsidRPr="002015FE">
        <w:t>. Za určitý problém z</w:t>
      </w:r>
      <w:r w:rsidR="00546698">
        <w:t> </w:t>
      </w:r>
      <w:r w:rsidRPr="002015FE">
        <w:t xml:space="preserve">hlediska budoucího rozvoje elektromobility pak EK považuje skutečnost, že </w:t>
      </w:r>
      <w:r w:rsidRPr="002015FE">
        <w:rPr>
          <w:u w:val="single"/>
        </w:rPr>
        <w:t>cíl ČR pro oblast veřejně přístupných dobíjecích stanic do roku 2020 počítá s</w:t>
      </w:r>
      <w:r w:rsidR="00546698">
        <w:rPr>
          <w:u w:val="single"/>
        </w:rPr>
        <w:t> </w:t>
      </w:r>
      <w:r w:rsidRPr="002015FE">
        <w:rPr>
          <w:u w:val="single"/>
        </w:rPr>
        <w:t>poměrem 13 vozidel na jednu stanici</w:t>
      </w:r>
      <w:r w:rsidRPr="002015FE">
        <w:t>, zatímco dle směrnice 2014/94/EU by tento poměr měl být 10 vozidel na jednu stanici. Podle EK by tato skutečnost, spolu s</w:t>
      </w:r>
      <w:r w:rsidR="00546698">
        <w:t> </w:t>
      </w:r>
      <w:r w:rsidRPr="002015FE">
        <w:t>nízkou predikcí počtu elektrických vozidel mohla vést k</w:t>
      </w:r>
      <w:r w:rsidR="00546698">
        <w:t> </w:t>
      </w:r>
      <w:r w:rsidRPr="002015FE">
        <w:t>fragmentaci trhu elektrických vozidel v</w:t>
      </w:r>
      <w:r w:rsidR="00546698">
        <w:t> </w:t>
      </w:r>
      <w:r w:rsidRPr="002015FE">
        <w:t>EU. EK přitom upozorňuje na velké rozdíly v</w:t>
      </w:r>
      <w:r w:rsidR="00546698">
        <w:t> </w:t>
      </w:r>
      <w:r w:rsidRPr="002015FE">
        <w:t>hustotě dobíjecích stanic mezi ČR a</w:t>
      </w:r>
      <w:r w:rsidR="00546698">
        <w:t> </w:t>
      </w:r>
      <w:r w:rsidRPr="002015FE">
        <w:t>Německem a</w:t>
      </w:r>
      <w:r w:rsidR="00546698">
        <w:t> </w:t>
      </w:r>
      <w:r w:rsidRPr="002015FE">
        <w:t>ČR a</w:t>
      </w:r>
      <w:r w:rsidR="00546698">
        <w:t> </w:t>
      </w:r>
      <w:r w:rsidRPr="002015FE">
        <w:t>Rakouskem a</w:t>
      </w:r>
      <w:r w:rsidR="00546698">
        <w:t> </w:t>
      </w:r>
      <w:r w:rsidRPr="002015FE">
        <w:t>to v</w:t>
      </w:r>
      <w:r w:rsidR="00546698">
        <w:t> </w:t>
      </w:r>
      <w:r w:rsidRPr="002015FE">
        <w:t>neprospěch ČR</w:t>
      </w:r>
      <w:r w:rsidRPr="002015FE">
        <w:rPr>
          <w:rStyle w:val="Znakapoznpodarou"/>
          <w:rFonts w:cstheme="minorHAnsi"/>
          <w:sz w:val="24"/>
        </w:rPr>
        <w:footnoteReference w:id="1"/>
      </w:r>
      <w:r w:rsidRPr="002015FE">
        <w:t>. Z</w:t>
      </w:r>
      <w:r w:rsidR="00546698">
        <w:t> </w:t>
      </w:r>
      <w:r w:rsidRPr="002015FE">
        <w:t>hlediska budoucí aktualizace svého vnitrostátního rámce politiky pro rozvoj trhu alternativních paliv v</w:t>
      </w:r>
      <w:r w:rsidR="00546698">
        <w:t> </w:t>
      </w:r>
      <w:r w:rsidRPr="002015FE">
        <w:t>odvětví dopravy by tak měla ČR podle názoru EK řádně monitorovat vývoj na trhu elektrických vozidel a</w:t>
      </w:r>
      <w:r w:rsidR="00546698">
        <w:t> </w:t>
      </w:r>
      <w:r w:rsidRPr="002015FE">
        <w:t>upravit daný cíl v</w:t>
      </w:r>
      <w:r w:rsidR="00546698">
        <w:t> </w:t>
      </w:r>
      <w:r w:rsidRPr="002015FE">
        <w:t>souladu s</w:t>
      </w:r>
      <w:r w:rsidR="00546698">
        <w:t> </w:t>
      </w:r>
      <w:r w:rsidRPr="002015FE">
        <w:t xml:space="preserve">tímto vývojem. </w:t>
      </w:r>
    </w:p>
    <w:p w14:paraId="68A581C3" w14:textId="77777777" w:rsidR="001B4719" w:rsidRPr="002015FE" w:rsidRDefault="001B4719" w:rsidP="001B4719">
      <w:pPr>
        <w:jc w:val="both"/>
      </w:pPr>
      <w:r w:rsidRPr="002015FE">
        <w:t xml:space="preserve">EK se ve svém hodnocení dotýká rovněž problematiky </w:t>
      </w:r>
      <w:r w:rsidRPr="002015FE">
        <w:rPr>
          <w:u w:val="single"/>
        </w:rPr>
        <w:t>zavádění LNG do vnitrozemské vodní dopravy</w:t>
      </w:r>
      <w:r w:rsidRPr="002015FE">
        <w:t>, kde v</w:t>
      </w:r>
      <w:r w:rsidR="00546698">
        <w:t> </w:t>
      </w:r>
      <w:r w:rsidRPr="002015FE">
        <w:t>souvislosti s</w:t>
      </w:r>
      <w:r w:rsidR="00546698">
        <w:t> </w:t>
      </w:r>
      <w:r w:rsidRPr="002015FE">
        <w:t>rozhodnutím ČR nestanovit si žádný cíl, pokud jde o</w:t>
      </w:r>
      <w:r w:rsidR="00546698">
        <w:t> </w:t>
      </w:r>
      <w:r w:rsidRPr="002015FE">
        <w:t>počet LNG plnících stanic v</w:t>
      </w:r>
      <w:r w:rsidR="00546698">
        <w:t> </w:t>
      </w:r>
      <w:r w:rsidRPr="002015FE">
        <w:t>říčních přístavech, zdůrazňuje, že v</w:t>
      </w:r>
      <w:r w:rsidR="00546698">
        <w:t> </w:t>
      </w:r>
      <w:r w:rsidRPr="002015FE">
        <w:t xml:space="preserve">budoucnosti by měla ČR takovéto rozhodnutí postavit na </w:t>
      </w:r>
      <w:r w:rsidRPr="002015FE">
        <w:rPr>
          <w:u w:val="single"/>
        </w:rPr>
        <w:t>detailnějším posouzení trhu včetně odhadu potřeb trhu v</w:t>
      </w:r>
      <w:r w:rsidR="00546698">
        <w:rPr>
          <w:u w:val="single"/>
        </w:rPr>
        <w:t> </w:t>
      </w:r>
      <w:r w:rsidRPr="002015FE">
        <w:rPr>
          <w:u w:val="single"/>
        </w:rPr>
        <w:t xml:space="preserve">jiných členských státech EU. </w:t>
      </w:r>
    </w:p>
    <w:p w14:paraId="306FF79F" w14:textId="77777777" w:rsidR="001B4719" w:rsidRPr="002015FE" w:rsidRDefault="001B4719" w:rsidP="001B4719">
      <w:pPr>
        <w:jc w:val="both"/>
      </w:pPr>
      <w:r w:rsidRPr="002015FE">
        <w:t>Pokud jde naopak o</w:t>
      </w:r>
      <w:r w:rsidR="00546698">
        <w:t> </w:t>
      </w:r>
      <w:r w:rsidRPr="002015FE">
        <w:t>oblast LNG v</w:t>
      </w:r>
      <w:r w:rsidR="00546698">
        <w:t> </w:t>
      </w:r>
      <w:r w:rsidRPr="002015FE">
        <w:t>silniční dopravě, zde EK konstatuje, současný rámec by měl zajistit dostatečné pokrytí sítě TEN-T v</w:t>
      </w:r>
      <w:r w:rsidR="00546698">
        <w:t> </w:t>
      </w:r>
      <w:r w:rsidRPr="002015FE">
        <w:t>území ČR. Velmi pozitivně pak EK hodnotí jak současný stav, tak i</w:t>
      </w:r>
      <w:r w:rsidR="00546698">
        <w:t> </w:t>
      </w:r>
      <w:r w:rsidRPr="002015FE">
        <w:t>budoucí výhled pokud jde o</w:t>
      </w:r>
      <w:r w:rsidR="00546698">
        <w:t> </w:t>
      </w:r>
      <w:r w:rsidRPr="002015FE">
        <w:t>infrastrukturu CNG plnících stanic. K</w:t>
      </w:r>
      <w:r w:rsidR="00546698">
        <w:t> </w:t>
      </w:r>
      <w:r w:rsidRPr="002015FE">
        <w:t>vodíkové části NAP CM se EK nevyjadřuje, což je patrně dáno poměrně omezeným rozsahem této kapitoly.</w:t>
      </w:r>
      <w:r>
        <w:t xml:space="preserve">     </w:t>
      </w:r>
    </w:p>
    <w:p w14:paraId="527B6A2C" w14:textId="77777777" w:rsidR="001B4719" w:rsidRDefault="001B4719" w:rsidP="001B4719">
      <w:pPr>
        <w:jc w:val="both"/>
      </w:pPr>
      <w:r w:rsidRPr="002015FE">
        <w:t>Ve svém hodnocení se nicméně EK celkově vyjadřuje k</w:t>
      </w:r>
      <w:r w:rsidR="00546698">
        <w:t> </w:t>
      </w:r>
      <w:r w:rsidRPr="002015FE">
        <w:t xml:space="preserve">míře </w:t>
      </w:r>
      <w:r w:rsidRPr="002015FE">
        <w:rPr>
          <w:u w:val="single"/>
        </w:rPr>
        <w:t>spolupráce se sousedními státy</w:t>
      </w:r>
      <w:r w:rsidRPr="002015FE">
        <w:t xml:space="preserve">, kterou předpokládá čl. 3, odst. 4 směrnice 2014/94/EU. Zde má ČR podle EK určité rezervy, kdy </w:t>
      </w:r>
      <w:r w:rsidRPr="002015FE">
        <w:lastRenderedPageBreak/>
        <w:t>v</w:t>
      </w:r>
      <w:r w:rsidR="00546698">
        <w:t> </w:t>
      </w:r>
      <w:r w:rsidRPr="002015FE">
        <w:t>samotném NAP CM je tento aspekt zmíněn pouze v</w:t>
      </w:r>
      <w:r w:rsidR="00546698">
        <w:t> </w:t>
      </w:r>
      <w:r w:rsidRPr="002015FE">
        <w:t>souvislosti s</w:t>
      </w:r>
      <w:r w:rsidR="00546698">
        <w:t> </w:t>
      </w:r>
      <w:r w:rsidRPr="002015FE">
        <w:t>rozvojem LNG a</w:t>
      </w:r>
      <w:r w:rsidR="00546698">
        <w:t> </w:t>
      </w:r>
      <w:r w:rsidRPr="002015FE">
        <w:t>vodíku. EK proto ČR doporučuje, aby toto v</w:t>
      </w:r>
      <w:r w:rsidR="00546698">
        <w:t> </w:t>
      </w:r>
      <w:r w:rsidRPr="002015FE">
        <w:t>budoucnosti zlepšila a</w:t>
      </w:r>
      <w:r w:rsidR="00546698">
        <w:t> </w:t>
      </w:r>
      <w:r w:rsidRPr="002015FE">
        <w:t>rozšířila přeshraniční spolupráci na všechn</w:t>
      </w:r>
      <w:r>
        <w:t>a</w:t>
      </w:r>
      <w:r w:rsidRPr="002015FE">
        <w:t xml:space="preserve"> alternativní paliva.</w:t>
      </w:r>
      <w:r>
        <w:t xml:space="preserve"> </w:t>
      </w:r>
      <w:r w:rsidRPr="002015FE">
        <w:t xml:space="preserve"> </w:t>
      </w:r>
    </w:p>
    <w:p w14:paraId="63A50AE6" w14:textId="77777777" w:rsidR="001B4719" w:rsidRDefault="001B4719" w:rsidP="001B4719">
      <w:pPr>
        <w:pStyle w:val="Nadpis3"/>
        <w:numPr>
          <w:ilvl w:val="2"/>
          <w:numId w:val="9"/>
        </w:numPr>
        <w:tabs>
          <w:tab w:val="left" w:pos="851"/>
          <w:tab w:val="num" w:pos="2411"/>
        </w:tabs>
        <w:ind w:left="284" w:firstLine="0"/>
        <w:jc w:val="both"/>
      </w:pPr>
      <w:bookmarkStart w:id="34" w:name="_Toc19792277"/>
      <w:bookmarkStart w:id="35" w:name="_Toc25084451"/>
      <w:bookmarkStart w:id="36" w:name="_Toc25136759"/>
      <w:bookmarkStart w:id="37" w:name="_Toc34295885"/>
      <w:r w:rsidRPr="00560308">
        <w:t xml:space="preserve">Zavádění alternativních paliv </w:t>
      </w:r>
      <w:r>
        <w:t>v</w:t>
      </w:r>
      <w:r w:rsidR="00546698">
        <w:t> </w:t>
      </w:r>
      <w:r>
        <w:t>rámci sítě TEN-T</w:t>
      </w:r>
      <w:bookmarkEnd w:id="34"/>
      <w:bookmarkEnd w:id="35"/>
      <w:bookmarkEnd w:id="36"/>
      <w:bookmarkEnd w:id="37"/>
    </w:p>
    <w:p w14:paraId="4DA00F7E" w14:textId="77777777" w:rsidR="001B4719" w:rsidRDefault="001B4719" w:rsidP="001B4719">
      <w:pPr>
        <w:jc w:val="both"/>
        <w:rPr>
          <w:b/>
          <w:bCs/>
        </w:rPr>
      </w:pPr>
      <w:r w:rsidRPr="009C1B31">
        <w:t>Ve výše uvedeném</w:t>
      </w:r>
      <w:r w:rsidRPr="009C1B31">
        <w:rPr>
          <w:b/>
        </w:rPr>
        <w:t xml:space="preserve"> Sdělení „Evropská strategie pro nízkoemisní dopravu“ </w:t>
      </w:r>
      <w:r w:rsidRPr="009C1B31">
        <w:t xml:space="preserve">EK konstatuje, že je třeba </w:t>
      </w:r>
      <w:r w:rsidRPr="009C1B31">
        <w:rPr>
          <w:bCs/>
          <w:u w:val="single"/>
        </w:rPr>
        <w:t xml:space="preserve">urychlit zavádění příslušné infrastruktury </w:t>
      </w:r>
      <w:r w:rsidRPr="009C1B31">
        <w:rPr>
          <w:u w:val="single"/>
        </w:rPr>
        <w:t>v</w:t>
      </w:r>
      <w:r w:rsidR="00546698">
        <w:rPr>
          <w:u w:val="single"/>
        </w:rPr>
        <w:t> </w:t>
      </w:r>
      <w:r w:rsidRPr="009C1B31">
        <w:rPr>
          <w:u w:val="single"/>
        </w:rPr>
        <w:t>hlavní síti a</w:t>
      </w:r>
      <w:r w:rsidR="00546698">
        <w:rPr>
          <w:u w:val="single"/>
        </w:rPr>
        <w:t> </w:t>
      </w:r>
      <w:r w:rsidRPr="009C1B31">
        <w:rPr>
          <w:u w:val="single"/>
        </w:rPr>
        <w:t>globální síti TEN-T</w:t>
      </w:r>
      <w:r w:rsidRPr="009C1B31">
        <w:t xml:space="preserve">. Za tímto účelem </w:t>
      </w:r>
      <w:r>
        <w:t>byl již ve S</w:t>
      </w:r>
      <w:r w:rsidRPr="009C1B31">
        <w:t xml:space="preserve">dělení </w:t>
      </w:r>
      <w:r>
        <w:t>EK „</w:t>
      </w:r>
      <w:r w:rsidRPr="009C1B31">
        <w:t>Evropa v</w:t>
      </w:r>
      <w:r w:rsidR="00546698">
        <w:t> </w:t>
      </w:r>
      <w:r w:rsidRPr="009C1B31">
        <w:t>pohybu</w:t>
      </w:r>
      <w:r>
        <w:t>“</w:t>
      </w:r>
      <w:r w:rsidRPr="009C1B31">
        <w:t xml:space="preserve"> z</w:t>
      </w:r>
      <w:r w:rsidR="00546698">
        <w:t> </w:t>
      </w:r>
      <w:r w:rsidRPr="009C1B31">
        <w:t>května 2017 stanov</w:t>
      </w:r>
      <w:r>
        <w:t xml:space="preserve">en </w:t>
      </w:r>
      <w:r w:rsidRPr="009C1B31">
        <w:t xml:space="preserve">cíl </w:t>
      </w:r>
      <w:r w:rsidRPr="009C1B31">
        <w:rPr>
          <w:b/>
          <w:bCs/>
        </w:rPr>
        <w:t xml:space="preserve">vybudovat nejpozději do roku 2025 páteřní infrastrukturu </w:t>
      </w:r>
      <w:r>
        <w:rPr>
          <w:b/>
          <w:bCs/>
        </w:rPr>
        <w:t xml:space="preserve">pro alternativní paliva </w:t>
      </w:r>
      <w:r w:rsidRPr="009C1B31">
        <w:rPr>
          <w:b/>
          <w:bCs/>
        </w:rPr>
        <w:t>pro hlavní síť</w:t>
      </w:r>
      <w:r w:rsidRPr="009C1B31">
        <w:t xml:space="preserve">. Odhaduje se přitom, že </w:t>
      </w:r>
      <w:r w:rsidRPr="009C1B31">
        <w:rPr>
          <w:b/>
          <w:bCs/>
        </w:rPr>
        <w:t xml:space="preserve">do roku 2025 bude </w:t>
      </w:r>
      <w:r>
        <w:rPr>
          <w:b/>
          <w:bCs/>
        </w:rPr>
        <w:t xml:space="preserve">jen </w:t>
      </w:r>
      <w:r w:rsidRPr="009C1B31">
        <w:rPr>
          <w:b/>
          <w:bCs/>
        </w:rPr>
        <w:t xml:space="preserve">na vybavení </w:t>
      </w:r>
      <w:r>
        <w:rPr>
          <w:b/>
          <w:bCs/>
        </w:rPr>
        <w:t xml:space="preserve">TEN-T </w:t>
      </w:r>
      <w:r w:rsidRPr="009C1B31">
        <w:rPr>
          <w:b/>
          <w:bCs/>
        </w:rPr>
        <w:t xml:space="preserve">koridorů </w:t>
      </w:r>
      <w:r>
        <w:rPr>
          <w:b/>
          <w:bCs/>
        </w:rPr>
        <w:t xml:space="preserve">(podmnožina hlavní sítě TEN-T) </w:t>
      </w:r>
      <w:r w:rsidRPr="009C1B31">
        <w:rPr>
          <w:b/>
          <w:bCs/>
        </w:rPr>
        <w:t>zapotřebí 1,5</w:t>
      </w:r>
      <w:r w:rsidR="00365E96">
        <w:rPr>
          <w:b/>
          <w:bCs/>
        </w:rPr>
        <w:t> </w:t>
      </w:r>
      <w:r w:rsidRPr="009C1B31">
        <w:rPr>
          <w:b/>
          <w:bCs/>
        </w:rPr>
        <w:t>miliardy EUR</w:t>
      </w:r>
      <w:r>
        <w:rPr>
          <w:b/>
          <w:bCs/>
        </w:rPr>
        <w:t xml:space="preserve">. </w:t>
      </w:r>
    </w:p>
    <w:p w14:paraId="107F2ADF" w14:textId="77777777" w:rsidR="001B4719" w:rsidRPr="009C1B31" w:rsidRDefault="001B4719" w:rsidP="001B4719">
      <w:pPr>
        <w:jc w:val="both"/>
      </w:pPr>
      <w:r w:rsidRPr="009C1B31">
        <w:rPr>
          <w:bCs/>
        </w:rPr>
        <w:t xml:space="preserve">Z toho vyplývá, že rovněž ČR </w:t>
      </w:r>
      <w:r>
        <w:rPr>
          <w:bCs/>
        </w:rPr>
        <w:t>by se měla prioritně zaměřit na rozvoj své infrastruktury dobíjecích a</w:t>
      </w:r>
      <w:r w:rsidR="00546698">
        <w:rPr>
          <w:bCs/>
        </w:rPr>
        <w:t> </w:t>
      </w:r>
      <w:r>
        <w:rPr>
          <w:bCs/>
        </w:rPr>
        <w:t>plnících stanic na síti TEN-T a</w:t>
      </w:r>
      <w:r w:rsidR="00546698">
        <w:rPr>
          <w:bCs/>
        </w:rPr>
        <w:t> </w:t>
      </w:r>
      <w:r>
        <w:rPr>
          <w:bCs/>
        </w:rPr>
        <w:t>v její těsné blízkosti. Z</w:t>
      </w:r>
      <w:r w:rsidR="00546698">
        <w:rPr>
          <w:bCs/>
        </w:rPr>
        <w:t> </w:t>
      </w:r>
      <w:r>
        <w:rPr>
          <w:bCs/>
        </w:rPr>
        <w:t>tohoto pohledu lze konstatovat, že k</w:t>
      </w:r>
      <w:r w:rsidR="00546698">
        <w:rPr>
          <w:bCs/>
        </w:rPr>
        <w:t> </w:t>
      </w:r>
      <w:r>
        <w:rPr>
          <w:bCs/>
        </w:rPr>
        <w:t>únoru 2019 bylo na těchto komunikacích umístěno přibližně 150 dobíjecích stanic a</w:t>
      </w:r>
      <w:r w:rsidR="00546698">
        <w:rPr>
          <w:bCs/>
        </w:rPr>
        <w:t> </w:t>
      </w:r>
      <w:r>
        <w:rPr>
          <w:bCs/>
        </w:rPr>
        <w:t>60 CNG plnících stanic. Další infrastruktura jak dobíjecích stanic, tak ale i</w:t>
      </w:r>
      <w:r w:rsidR="00546698">
        <w:rPr>
          <w:bCs/>
        </w:rPr>
        <w:t> </w:t>
      </w:r>
      <w:r>
        <w:rPr>
          <w:bCs/>
        </w:rPr>
        <w:t>plnících stanic na LNG a</w:t>
      </w:r>
      <w:r w:rsidR="00546698">
        <w:rPr>
          <w:bCs/>
        </w:rPr>
        <w:t> </w:t>
      </w:r>
      <w:r>
        <w:rPr>
          <w:bCs/>
        </w:rPr>
        <w:t>rovněž vodík ale bude vznikat v</w:t>
      </w:r>
      <w:r w:rsidR="00546698">
        <w:rPr>
          <w:bCs/>
        </w:rPr>
        <w:t> </w:t>
      </w:r>
      <w:r>
        <w:rPr>
          <w:bCs/>
        </w:rPr>
        <w:t>průběhu příštích dvou let coby projekty podpořené v</w:t>
      </w:r>
      <w:r w:rsidR="00546698">
        <w:rPr>
          <w:bCs/>
        </w:rPr>
        <w:t> </w:t>
      </w:r>
      <w:r>
        <w:rPr>
          <w:bCs/>
        </w:rPr>
        <w:t xml:space="preserve">rámci dotačního programu OPD. </w:t>
      </w:r>
    </w:p>
    <w:p w14:paraId="799C552C" w14:textId="77777777" w:rsidR="001B4719" w:rsidRPr="002015FE" w:rsidRDefault="001B4719" w:rsidP="001B4719">
      <w:pPr>
        <w:pStyle w:val="Nadpis3"/>
        <w:numPr>
          <w:ilvl w:val="2"/>
          <w:numId w:val="9"/>
        </w:numPr>
        <w:tabs>
          <w:tab w:val="left" w:pos="851"/>
          <w:tab w:val="num" w:pos="2411"/>
        </w:tabs>
        <w:ind w:left="284" w:firstLine="0"/>
        <w:jc w:val="both"/>
      </w:pPr>
      <w:bookmarkStart w:id="38" w:name="_Toc18497140"/>
      <w:bookmarkStart w:id="39" w:name="_Toc19792278"/>
      <w:bookmarkStart w:id="40" w:name="_Toc25084452"/>
      <w:bookmarkStart w:id="41" w:name="_Toc25136760"/>
      <w:bookmarkStart w:id="42" w:name="_Toc34295886"/>
      <w:bookmarkEnd w:id="38"/>
      <w:r w:rsidRPr="002015FE">
        <w:t>Daňová opatření uplatňovaná v</w:t>
      </w:r>
      <w:r w:rsidR="00546698">
        <w:t> </w:t>
      </w:r>
      <w:r w:rsidRPr="002015FE">
        <w:t>jiných státech EU stimulující rozvoj čisté mobility</w:t>
      </w:r>
      <w:bookmarkEnd w:id="39"/>
      <w:bookmarkEnd w:id="40"/>
      <w:bookmarkEnd w:id="41"/>
      <w:bookmarkEnd w:id="42"/>
      <w:r w:rsidRPr="002015FE">
        <w:t xml:space="preserve"> </w:t>
      </w:r>
    </w:p>
    <w:p w14:paraId="7D7C609B" w14:textId="77777777" w:rsidR="001B4719" w:rsidRPr="002015FE" w:rsidRDefault="001B4719" w:rsidP="001B4719">
      <w:pPr>
        <w:jc w:val="both"/>
      </w:pPr>
      <w:r w:rsidRPr="002015FE">
        <w:t>Jedním z</w:t>
      </w:r>
      <w:r w:rsidR="00546698">
        <w:t> </w:t>
      </w:r>
      <w:r w:rsidRPr="002015FE">
        <w:t>opatření původního NAP CM bylo provést analýzu zpoplatnění a</w:t>
      </w:r>
      <w:r w:rsidR="00546698">
        <w:t> </w:t>
      </w:r>
      <w:r w:rsidRPr="002015FE">
        <w:t>zdanění vozidel (karta S28) a</w:t>
      </w:r>
      <w:r w:rsidR="00546698">
        <w:t> </w:t>
      </w:r>
      <w:r w:rsidRPr="002015FE">
        <w:t>na základě této analýzy rozhodnout o</w:t>
      </w:r>
      <w:r w:rsidR="00546698">
        <w:t> </w:t>
      </w:r>
      <w:r w:rsidRPr="002015FE">
        <w:t>případných změnách v</w:t>
      </w:r>
      <w:r w:rsidR="00546698">
        <w:t> </w:t>
      </w:r>
      <w:r w:rsidRPr="002015FE">
        <w:t>této oblasti za účelem stimulace rozvoje čisté mobility v</w:t>
      </w:r>
      <w:r w:rsidR="00546698">
        <w:t> </w:t>
      </w:r>
      <w:r w:rsidRPr="002015FE">
        <w:t xml:space="preserve">ČR. </w:t>
      </w:r>
    </w:p>
    <w:p w14:paraId="2793229B" w14:textId="77777777" w:rsidR="001B4719" w:rsidRPr="002015FE" w:rsidRDefault="001B4719" w:rsidP="001B4719">
      <w:pPr>
        <w:jc w:val="both"/>
      </w:pPr>
      <w:r w:rsidRPr="002015FE">
        <w:t>I když se zatím na této analýze stále pracuje, přičemž její výsledky nebudou do doby předložení aktualizace NAP CM do vlády ještě k</w:t>
      </w:r>
      <w:r w:rsidR="00546698">
        <w:t> </w:t>
      </w:r>
      <w:r w:rsidRPr="002015FE">
        <w:t>dispozici, již nyní je možné zde uvést některá základní zjištění obsažená v</w:t>
      </w:r>
      <w:r w:rsidR="00546698">
        <w:t> </w:t>
      </w:r>
      <w:r w:rsidRPr="002015FE">
        <w:t>analytické části této analýzy, která se týkají praxe v</w:t>
      </w:r>
      <w:r w:rsidR="00546698">
        <w:t> </w:t>
      </w:r>
      <w:r w:rsidRPr="002015FE">
        <w:t>této oblasti v</w:t>
      </w:r>
      <w:r w:rsidR="00546698">
        <w:t> </w:t>
      </w:r>
      <w:r w:rsidRPr="002015FE">
        <w:t>jiných členských státech EU.</w:t>
      </w:r>
      <w:r>
        <w:t xml:space="preserve"> </w:t>
      </w:r>
    </w:p>
    <w:p w14:paraId="52A3575E" w14:textId="77777777" w:rsidR="001B4719" w:rsidRPr="002015FE" w:rsidRDefault="001B4719" w:rsidP="001B4719">
      <w:pPr>
        <w:jc w:val="both"/>
      </w:pPr>
      <w:r w:rsidRPr="002015FE">
        <w:t>Základním poznatkem je, že většina členských států EU přistupuje k</w:t>
      </w:r>
      <w:r w:rsidR="00546698">
        <w:t> </w:t>
      </w:r>
      <w:r w:rsidRPr="002015FE">
        <w:t xml:space="preserve">této problematice na rozdíl od ČR velmi komplexně. Tomu odpovídá zejména fakt, že za tímto účelem používají státy vícero odlišných daňových nástrojů. </w:t>
      </w:r>
    </w:p>
    <w:p w14:paraId="5F5BA0CA" w14:textId="77777777" w:rsidR="001B4719" w:rsidRPr="002015FE" w:rsidRDefault="001B4719" w:rsidP="001B4719">
      <w:pPr>
        <w:jc w:val="both"/>
      </w:pPr>
      <w:r w:rsidRPr="002015FE">
        <w:t>V první řadě jde o</w:t>
      </w:r>
      <w:r w:rsidR="00546698">
        <w:t> </w:t>
      </w:r>
      <w:r w:rsidRPr="002015FE">
        <w:rPr>
          <w:u w:val="single"/>
        </w:rPr>
        <w:t>registrační daň</w:t>
      </w:r>
      <w:r w:rsidRPr="002015FE">
        <w:t xml:space="preserve"> (případně registrační poplatek), která je uplatňována někdy na všechna vozidla (21 států z</w:t>
      </w:r>
      <w:r w:rsidR="00546698">
        <w:t> </w:t>
      </w:r>
      <w:r w:rsidRPr="002015FE">
        <w:t>toho 9 států na bázi poplatku), jindy jen o</w:t>
      </w:r>
      <w:r w:rsidR="00546698">
        <w:t> </w:t>
      </w:r>
      <w:r w:rsidRPr="002015FE">
        <w:t>specifickou skupinu vozidel, zejména osobních (7 států). V</w:t>
      </w:r>
      <w:r w:rsidR="00546698">
        <w:t> </w:t>
      </w:r>
      <w:r w:rsidRPr="002015FE">
        <w:t>případě ČR tento poplatek přitom ani neplní funkci registračního poplatku, ale jde jen o</w:t>
      </w:r>
      <w:r w:rsidR="00546698">
        <w:t> </w:t>
      </w:r>
      <w:r w:rsidRPr="002015FE">
        <w:t>správní poplatek za provedení daného úkonu (vydání registrační značky).</w:t>
      </w:r>
      <w:r>
        <w:t xml:space="preserve"> </w:t>
      </w:r>
      <w:r w:rsidRPr="002015FE">
        <w:t>V</w:t>
      </w:r>
      <w:r w:rsidR="00546698">
        <w:t> </w:t>
      </w:r>
      <w:r w:rsidRPr="002015FE">
        <w:t>souvislosti s</w:t>
      </w:r>
      <w:r w:rsidR="00546698">
        <w:t> </w:t>
      </w:r>
      <w:r w:rsidRPr="002015FE">
        <w:t>účelem tohoto dokumentu je třeba podotknout, že ve 13 zemích jsou vozidla s</w:t>
      </w:r>
      <w:r w:rsidR="00546698">
        <w:t> </w:t>
      </w:r>
      <w:r w:rsidRPr="002015FE">
        <w:t>environmentálně příznivějším dopadem buď zcela osvobozena z</w:t>
      </w:r>
      <w:r w:rsidR="00546698">
        <w:t> </w:t>
      </w:r>
      <w:r w:rsidRPr="002015FE">
        <w:t>placení této daně, nebo platí její nejnižší sazbu. Od dubna 2019 se do skupiny těchto zemí zařadila i</w:t>
      </w:r>
      <w:r w:rsidR="00546698">
        <w:t> </w:t>
      </w:r>
      <w:r w:rsidRPr="002015FE">
        <w:t>ČR, kdy vydání speciální registrační značky pro elektrická vozidla (včetně vozidel na vodík) jsou od placení příslušného správního poplatku osvobozena.</w:t>
      </w:r>
      <w:r>
        <w:t xml:space="preserve"> </w:t>
      </w:r>
    </w:p>
    <w:p w14:paraId="593457F2" w14:textId="77777777" w:rsidR="001B4719" w:rsidRDefault="001B4719" w:rsidP="001B4719">
      <w:pPr>
        <w:spacing w:before="0" w:after="0"/>
        <w:jc w:val="both"/>
      </w:pPr>
      <w:r w:rsidRPr="002015FE">
        <w:t xml:space="preserve">Druhým základním typem daně je </w:t>
      </w:r>
      <w:r w:rsidRPr="002015FE">
        <w:rPr>
          <w:u w:val="single"/>
        </w:rPr>
        <w:t>daň z</w:t>
      </w:r>
      <w:r w:rsidR="00546698">
        <w:rPr>
          <w:u w:val="single"/>
        </w:rPr>
        <w:t> </w:t>
      </w:r>
      <w:r w:rsidRPr="002015FE">
        <w:rPr>
          <w:u w:val="single"/>
        </w:rPr>
        <w:t>vlastnictví vozidla</w:t>
      </w:r>
      <w:r w:rsidRPr="002015FE">
        <w:t xml:space="preserve"> (v ČR označena za silniční daň). Tato daň je buď všeobecná (tj. platí ji všichni uživatelé silničních vozidel), nebo selektivní, což je i</w:t>
      </w:r>
      <w:r w:rsidR="00546698">
        <w:t> </w:t>
      </w:r>
      <w:r w:rsidRPr="002015FE">
        <w:t>případ ČR stejně jako třeba Slovenska, kde se tato daň vztahuje jen na podnikatelské subjekty.</w:t>
      </w:r>
      <w:r>
        <w:t xml:space="preserve"> </w:t>
      </w:r>
      <w:r w:rsidRPr="002015FE">
        <w:t>Selektivní daň je uplatňována dále již jen v</w:t>
      </w:r>
      <w:r w:rsidR="00546698">
        <w:t> </w:t>
      </w:r>
      <w:r w:rsidRPr="002015FE">
        <w:t>Litvě, Polsku a</w:t>
      </w:r>
      <w:r w:rsidR="00546698">
        <w:t> </w:t>
      </w:r>
      <w:r w:rsidRPr="002015FE">
        <w:t>Španělsku, zatímco ve 23 státech EU platí všeobecná daň z</w:t>
      </w:r>
      <w:r w:rsidR="00546698">
        <w:t> </w:t>
      </w:r>
      <w:r w:rsidRPr="002015FE">
        <w:t>vlastnictví vozidla. V</w:t>
      </w:r>
      <w:r w:rsidR="00546698">
        <w:t> </w:t>
      </w:r>
      <w:r w:rsidRPr="002015FE">
        <w:t>18 zemích pak vozidla s</w:t>
      </w:r>
      <w:r w:rsidR="00546698">
        <w:t> </w:t>
      </w:r>
      <w:r w:rsidRPr="002015FE">
        <w:t>environmentálně příznivějším dopadem neplatí tuto daň buď vůbec či pouze na úrovni minimální sazby. Příslušné sazby jsou přitom nastaveny tak, že buď vychází z</w:t>
      </w:r>
      <w:r w:rsidR="00546698">
        <w:t> </w:t>
      </w:r>
      <w:r w:rsidRPr="002015FE">
        <w:t>tzv. duálního systému (starší/mladší vozidla v</w:t>
      </w:r>
      <w:r w:rsidR="00546698">
        <w:t> </w:t>
      </w:r>
      <w:r w:rsidRPr="002015FE">
        <w:t>kombinaci se zdaněním CO</w:t>
      </w:r>
      <w:r w:rsidRPr="00CF2D43">
        <w:rPr>
          <w:vertAlign w:val="subscript"/>
        </w:rPr>
        <w:t>2</w:t>
      </w:r>
      <w:r w:rsidRPr="002015FE">
        <w:t>, případně zdaněním podle třídy EURO (10 zemí) nebo je uplatňována environmentální progrese, kdy je vozidlo zpoplatňováno za jednotku znečištění či zástupného znaku (8 zemí).</w:t>
      </w:r>
      <w:r>
        <w:t xml:space="preserve"> </w:t>
      </w:r>
      <w:r w:rsidRPr="002015FE">
        <w:t>V</w:t>
      </w:r>
      <w:r w:rsidR="00546698">
        <w:t> </w:t>
      </w:r>
      <w:r w:rsidRPr="002015FE">
        <w:t>ČR jsou od silniční daně osvobozena vozidla pro dopravu osob nebo vozidla pro dopravu nákladů s</w:t>
      </w:r>
      <w:r w:rsidR="00546698">
        <w:t> </w:t>
      </w:r>
      <w:r w:rsidRPr="002015FE">
        <w:t>největší povolenou hmotností méně než 12 tun na alternativní pohon.</w:t>
      </w:r>
      <w:r>
        <w:br w:type="page"/>
      </w:r>
    </w:p>
    <w:p w14:paraId="481ED4B3" w14:textId="77777777" w:rsidR="001B4719" w:rsidRDefault="001B4719" w:rsidP="001B4719">
      <w:pPr>
        <w:pStyle w:val="Nadpis2"/>
        <w:numPr>
          <w:ilvl w:val="1"/>
          <w:numId w:val="9"/>
        </w:numPr>
        <w:jc w:val="both"/>
      </w:pPr>
      <w:bookmarkStart w:id="43" w:name="_Toc18496987"/>
      <w:bookmarkStart w:id="44" w:name="_Toc18497142"/>
      <w:bookmarkStart w:id="45" w:name="_Toc18497147"/>
      <w:bookmarkStart w:id="46" w:name="_Toc395691291"/>
      <w:bookmarkStart w:id="47" w:name="_Toc393120931"/>
      <w:bookmarkStart w:id="48" w:name="_Toc398023514"/>
      <w:bookmarkStart w:id="49" w:name="_Toc403474738"/>
      <w:bookmarkStart w:id="50" w:name="_Toc406161316"/>
      <w:bookmarkStart w:id="51" w:name="_Toc431298705"/>
      <w:bookmarkStart w:id="52" w:name="_Toc12540092"/>
      <w:bookmarkStart w:id="53" w:name="_Toc19792279"/>
      <w:bookmarkStart w:id="54" w:name="_Toc25067648"/>
      <w:bookmarkStart w:id="55" w:name="_Toc25084453"/>
      <w:bookmarkStart w:id="56" w:name="_Toc25136761"/>
      <w:bookmarkStart w:id="57" w:name="_Toc34295887"/>
      <w:bookmarkEnd w:id="43"/>
      <w:bookmarkEnd w:id="44"/>
      <w:bookmarkEnd w:id="45"/>
      <w:r w:rsidRPr="0084470B">
        <w:lastRenderedPageBreak/>
        <w:t>Ochrana</w:t>
      </w:r>
      <w:r w:rsidRPr="00D5678F">
        <w:t xml:space="preserve"> ovzduší</w:t>
      </w:r>
      <w:bookmarkEnd w:id="46"/>
      <w:bookmarkEnd w:id="47"/>
      <w:bookmarkEnd w:id="48"/>
      <w:bookmarkEnd w:id="49"/>
      <w:bookmarkEnd w:id="50"/>
      <w:bookmarkEnd w:id="51"/>
      <w:r>
        <w:t xml:space="preserve"> a</w:t>
      </w:r>
      <w:r w:rsidR="00546698">
        <w:t> </w:t>
      </w:r>
      <w:r>
        <w:t>klimatu</w:t>
      </w:r>
      <w:bookmarkEnd w:id="52"/>
      <w:bookmarkEnd w:id="53"/>
      <w:bookmarkEnd w:id="54"/>
      <w:bookmarkEnd w:id="55"/>
      <w:bookmarkEnd w:id="56"/>
      <w:bookmarkEnd w:id="57"/>
    </w:p>
    <w:p w14:paraId="61D2C58B" w14:textId="77777777" w:rsidR="001B4719" w:rsidRPr="00E14D4F" w:rsidRDefault="001B4719" w:rsidP="001B4719">
      <w:pPr>
        <w:pStyle w:val="Nadpis3"/>
        <w:numPr>
          <w:ilvl w:val="2"/>
          <w:numId w:val="9"/>
        </w:numPr>
        <w:tabs>
          <w:tab w:val="left" w:pos="851"/>
          <w:tab w:val="num" w:pos="2411"/>
        </w:tabs>
        <w:ind w:left="284" w:firstLine="0"/>
        <w:jc w:val="both"/>
      </w:pPr>
      <w:bookmarkStart w:id="58" w:name="_Toc12540093"/>
      <w:bookmarkStart w:id="59" w:name="_Toc19792280"/>
      <w:bookmarkStart w:id="60" w:name="_Toc25084454"/>
      <w:bookmarkStart w:id="61" w:name="_Toc25136762"/>
      <w:bookmarkStart w:id="62" w:name="_Toc34295888"/>
      <w:r>
        <w:t>Ochrana ovzduší</w:t>
      </w:r>
      <w:bookmarkEnd w:id="58"/>
      <w:bookmarkEnd w:id="59"/>
      <w:bookmarkEnd w:id="60"/>
      <w:bookmarkEnd w:id="61"/>
      <w:bookmarkEnd w:id="62"/>
    </w:p>
    <w:p w14:paraId="6DF162A0" w14:textId="77777777" w:rsidR="001B4719" w:rsidRDefault="001B4719" w:rsidP="001B4719">
      <w:pPr>
        <w:jc w:val="both"/>
      </w:pPr>
      <w:r>
        <w:t>V dlouhodobém srovnání došlo v</w:t>
      </w:r>
      <w:r w:rsidR="00546698">
        <w:t> </w:t>
      </w:r>
      <w:r>
        <w:t>ČR k</w:t>
      </w:r>
      <w:r w:rsidR="00546698">
        <w:t> </w:t>
      </w:r>
      <w:r>
        <w:t>významnému zlepšení kvality ovzduší. Přesto je jeho kvalita z</w:t>
      </w:r>
      <w:r w:rsidR="00546698">
        <w:t> </w:t>
      </w:r>
      <w:r>
        <w:t>hlediska lidského zdraví a</w:t>
      </w:r>
      <w:r w:rsidR="00546698">
        <w:t> </w:t>
      </w:r>
      <w:r>
        <w:t>fungování ekosystémů, stále nedostačující. Dle výsledků měření z</w:t>
      </w:r>
      <w:r w:rsidR="00546698">
        <w:t> </w:t>
      </w:r>
      <w:r>
        <w:t>let 2005 až 2017 byla silniční doprava vyhodnocena jako jeden z</w:t>
      </w:r>
      <w:r w:rsidR="00546698">
        <w:t> </w:t>
      </w:r>
      <w:r>
        <w:t>největších znečišťovatelů ovzduší. To se týká zejména NO</w:t>
      </w:r>
      <w:r w:rsidRPr="00255A20">
        <w:rPr>
          <w:vertAlign w:val="subscript"/>
        </w:rPr>
        <w:t>x</w:t>
      </w:r>
      <w:r>
        <w:t xml:space="preserve"> a</w:t>
      </w:r>
      <w:r w:rsidR="00546698">
        <w:t> </w:t>
      </w:r>
      <w:r>
        <w:t xml:space="preserve">prachových částic. </w:t>
      </w:r>
    </w:p>
    <w:p w14:paraId="60617B00" w14:textId="77777777" w:rsidR="001B4719" w:rsidRDefault="001B4719" w:rsidP="000050AA">
      <w:pPr>
        <w:jc w:val="both"/>
      </w:pPr>
      <w:r w:rsidRPr="00D5678F">
        <w:t>Na území České republiky dochází z</w:t>
      </w:r>
      <w:r w:rsidR="00546698">
        <w:t> </w:t>
      </w:r>
      <w:r w:rsidRPr="00D5678F">
        <w:t>hlediska kvality ovzduší především k</w:t>
      </w:r>
      <w:r w:rsidR="00546698">
        <w:t> </w:t>
      </w:r>
      <w:r w:rsidRPr="00D5678F">
        <w:t>překračování imisních limitů pro suspendované částice frakce PM</w:t>
      </w:r>
      <w:r w:rsidRPr="00D5678F">
        <w:rPr>
          <w:vertAlign w:val="subscript"/>
        </w:rPr>
        <w:t>2,5</w:t>
      </w:r>
      <w:r w:rsidRPr="00D5678F">
        <w:t>, PM</w:t>
      </w:r>
      <w:r w:rsidRPr="00D5678F">
        <w:rPr>
          <w:vertAlign w:val="subscript"/>
        </w:rPr>
        <w:t>10</w:t>
      </w:r>
      <w:r>
        <w:t xml:space="preserve"> a</w:t>
      </w:r>
      <w:r w:rsidR="00546698">
        <w:t> </w:t>
      </w:r>
      <w:r w:rsidRPr="00D5678F">
        <w:rPr>
          <w:rFonts w:cs="Arial"/>
          <w:szCs w:val="22"/>
        </w:rPr>
        <w:t>NO</w:t>
      </w:r>
      <w:r w:rsidRPr="00D5678F">
        <w:rPr>
          <w:rFonts w:cs="Arial"/>
          <w:szCs w:val="22"/>
          <w:vertAlign w:val="subscript"/>
        </w:rPr>
        <w:t xml:space="preserve">2 </w:t>
      </w:r>
      <w:r>
        <w:rPr>
          <w:rFonts w:cs="Arial"/>
          <w:szCs w:val="22"/>
          <w:vertAlign w:val="subscript"/>
        </w:rPr>
        <w:t>.</w:t>
      </w:r>
      <w:r>
        <w:rPr>
          <w:rFonts w:cs="Arial"/>
          <w:szCs w:val="22"/>
        </w:rPr>
        <w:t xml:space="preserve"> </w:t>
      </w:r>
      <w:r w:rsidRPr="00D5678F">
        <w:t xml:space="preserve">Významným zdrojem uvedených znečišťujících </w:t>
      </w:r>
      <w:r>
        <w:rPr>
          <w:szCs w:val="22"/>
        </w:rPr>
        <w:t>látek je doprava, zejména</w:t>
      </w:r>
      <w:r w:rsidRPr="00D5678F">
        <w:rPr>
          <w:szCs w:val="22"/>
        </w:rPr>
        <w:t xml:space="preserve"> silniční doprava. </w:t>
      </w:r>
      <w:r w:rsidRPr="00D5678F">
        <w:t>Přestože některé emise z</w:t>
      </w:r>
      <w:r w:rsidR="00546698">
        <w:t> </w:t>
      </w:r>
      <w:r w:rsidRPr="00D5678F">
        <w:t>dopravy klesají, situace nadále zůstává neuspokojivá</w:t>
      </w:r>
      <w:r>
        <w:t>.</w:t>
      </w:r>
      <w:r w:rsidRPr="00D5678F">
        <w:t xml:space="preserve"> Vývoj emisí z</w:t>
      </w:r>
      <w:r w:rsidR="00546698">
        <w:t> </w:t>
      </w:r>
      <w:r w:rsidRPr="00D5678F">
        <w:t>dopravy je znázorněn na následujícím obrázku. Ve vývoji emisí z</w:t>
      </w:r>
      <w:r w:rsidR="00546698">
        <w:t> </w:t>
      </w:r>
      <w:r w:rsidRPr="00D5678F">
        <w:t>dopravy se odráží vývoj skladby vozového parku</w:t>
      </w:r>
      <w:r>
        <w:t>, technický stav vozidel</w:t>
      </w:r>
      <w:r w:rsidRPr="00D5678F">
        <w:t xml:space="preserve"> a</w:t>
      </w:r>
      <w:r w:rsidR="00546698">
        <w:t> </w:t>
      </w:r>
      <w:r>
        <w:t>zvýšení přepravních výkonů.</w:t>
      </w:r>
      <w:r w:rsidRPr="00D5678F">
        <w:t xml:space="preserve"> </w:t>
      </w:r>
    </w:p>
    <w:p w14:paraId="16B897FA" w14:textId="77777777" w:rsidR="000050AA" w:rsidRDefault="000050AA" w:rsidP="000050AA">
      <w:pPr>
        <w:pStyle w:val="Titulek"/>
        <w:keepNext/>
        <w:jc w:val="both"/>
      </w:pPr>
      <w:bookmarkStart w:id="63" w:name="_Toc34295875"/>
      <w:r>
        <w:t xml:space="preserve">Graf </w:t>
      </w:r>
      <w:r w:rsidR="001614BC">
        <w:rPr>
          <w:noProof/>
        </w:rPr>
        <w:fldChar w:fldCharType="begin"/>
      </w:r>
      <w:r w:rsidR="001614BC">
        <w:rPr>
          <w:noProof/>
        </w:rPr>
        <w:instrText xml:space="preserve"> SEQ Graf \* ARABIC </w:instrText>
      </w:r>
      <w:r w:rsidR="001614BC">
        <w:rPr>
          <w:noProof/>
        </w:rPr>
        <w:fldChar w:fldCharType="separate"/>
      </w:r>
      <w:r w:rsidR="00DF768A">
        <w:rPr>
          <w:noProof/>
        </w:rPr>
        <w:t>1</w:t>
      </w:r>
      <w:r w:rsidR="001614BC">
        <w:rPr>
          <w:noProof/>
        </w:rPr>
        <w:fldChar w:fldCharType="end"/>
      </w:r>
      <w:r>
        <w:t xml:space="preserve"> Vývoj emisí z</w:t>
      </w:r>
      <w:r w:rsidR="00546698">
        <w:t> </w:t>
      </w:r>
      <w:r>
        <w:t>dopravy v</w:t>
      </w:r>
      <w:r w:rsidR="00546698">
        <w:t> </w:t>
      </w:r>
      <w:r>
        <w:t>letech 2000-2018</w:t>
      </w:r>
      <w:bookmarkEnd w:id="63"/>
    </w:p>
    <w:p w14:paraId="42AB17A7" w14:textId="77777777" w:rsidR="00CA523C" w:rsidRDefault="001B4719" w:rsidP="001B4719">
      <w:pPr>
        <w:jc w:val="both"/>
      </w:pPr>
      <w:r>
        <w:rPr>
          <w:noProof/>
        </w:rPr>
        <w:drawing>
          <wp:inline distT="0" distB="0" distL="0" distR="0" wp14:anchorId="07A3D179" wp14:editId="32A7B971">
            <wp:extent cx="5610225" cy="3320415"/>
            <wp:effectExtent l="0" t="0" r="9525" b="0"/>
            <wp:docPr id="1140" name="Obrázek 1140"/>
            <wp:cNvGraphicFramePr/>
            <a:graphic xmlns:a="http://schemas.openxmlformats.org/drawingml/2006/main">
              <a:graphicData uri="http://schemas.openxmlformats.org/drawingml/2006/picture">
                <pic:pic xmlns:pic="http://schemas.openxmlformats.org/drawingml/2006/picture">
                  <pic:nvPicPr>
                    <pic:cNvPr id="1140" name="Obrázek 1140"/>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0225" cy="3320415"/>
                    </a:xfrm>
                    <a:prstGeom prst="rect">
                      <a:avLst/>
                    </a:prstGeom>
                    <a:noFill/>
                  </pic:spPr>
                </pic:pic>
              </a:graphicData>
            </a:graphic>
          </wp:inline>
        </w:drawing>
      </w:r>
    </w:p>
    <w:p w14:paraId="38B74699" w14:textId="77777777" w:rsidR="001B4719" w:rsidRPr="00D5678F" w:rsidRDefault="00CA523C" w:rsidP="001B4719">
      <w:pPr>
        <w:jc w:val="both"/>
      </w:pPr>
      <w:r>
        <w:t>Z</w:t>
      </w:r>
      <w:r w:rsidR="001B4719" w:rsidRPr="00D5678F">
        <w:t>droj: CDV, v.v.i.</w:t>
      </w:r>
    </w:p>
    <w:p w14:paraId="6A1C28C2" w14:textId="77777777" w:rsidR="001B4719" w:rsidRDefault="001B4719" w:rsidP="001B4719">
      <w:pPr>
        <w:jc w:val="both"/>
      </w:pPr>
      <w:r>
        <w:t>Problém znečištění ze silniční dopravy se týká zejména velkých měst a</w:t>
      </w:r>
      <w:r w:rsidR="00546698">
        <w:t> </w:t>
      </w:r>
      <w:r>
        <w:t>aglomerací, ale nevyhýbá se také menším sídlům s</w:t>
      </w:r>
      <w:r w:rsidR="00546698">
        <w:t> </w:t>
      </w:r>
      <w:r>
        <w:t>vysokou intenzitou dopravy. Problém znečištění ze silniční dopravy je umocněn tím, že zplodiny z</w:t>
      </w:r>
      <w:r w:rsidR="00546698">
        <w:t> </w:t>
      </w:r>
      <w:r>
        <w:t>výfuků jsou přímo v</w:t>
      </w:r>
      <w:r w:rsidR="00546698">
        <w:t> </w:t>
      </w:r>
      <w:r>
        <w:t xml:space="preserve">dýchací zóně obyvatel. </w:t>
      </w:r>
      <w:r w:rsidRPr="00AF168D">
        <w:t>Podíl sektoru „silniční doprava“ činil v</w:t>
      </w:r>
      <w:r w:rsidR="00546698">
        <w:t> </w:t>
      </w:r>
      <w:r w:rsidRPr="00AF168D">
        <w:t>roce 2017 cca 32 % celkových emisí oxidů dusíku, cca</w:t>
      </w:r>
      <w:r>
        <w:t> </w:t>
      </w:r>
      <w:r w:rsidRPr="00AF168D">
        <w:t>7</w:t>
      </w:r>
      <w:r>
        <w:t> </w:t>
      </w:r>
      <w:r w:rsidRPr="00AF168D">
        <w:t>% celkových emisí primárních částic PM</w:t>
      </w:r>
      <w:r w:rsidRPr="001F7A4F">
        <w:rPr>
          <w:vertAlign w:val="subscript"/>
        </w:rPr>
        <w:t>10</w:t>
      </w:r>
      <w:r>
        <w:t xml:space="preserve"> a</w:t>
      </w:r>
      <w:r w:rsidR="00546698">
        <w:t> </w:t>
      </w:r>
      <w:r w:rsidRPr="00AF168D">
        <w:t>cca 6 % celkových emisí primárních částic PM</w:t>
      </w:r>
      <w:r w:rsidRPr="001F7A4F">
        <w:rPr>
          <w:vertAlign w:val="subscript"/>
        </w:rPr>
        <w:t>2,5</w:t>
      </w:r>
      <w:r w:rsidRPr="00AF168D">
        <w:t xml:space="preserve"> a</w:t>
      </w:r>
      <w:r w:rsidR="00546698">
        <w:t> </w:t>
      </w:r>
      <w:r w:rsidRPr="00AF168D">
        <w:t>cca 5 % celkových emisí VOC. Nicméně na území velkých měst a</w:t>
      </w:r>
      <w:r w:rsidR="00546698">
        <w:t> </w:t>
      </w:r>
      <w:r w:rsidRPr="00AF168D">
        <w:t>aglomerací je podíl silniční dopravy na celkové produkci emisí znečisťujících látek, zejména pevných částic a</w:t>
      </w:r>
      <w:r w:rsidR="00546698">
        <w:t> </w:t>
      </w:r>
      <w:r w:rsidRPr="00AF168D">
        <w:t>oxidů dusíku, několikanásobně vyšší, např. v</w:t>
      </w:r>
      <w:r w:rsidR="00546698">
        <w:t> </w:t>
      </w:r>
      <w:r w:rsidRPr="00AF168D">
        <w:t>Praze se v</w:t>
      </w:r>
      <w:r w:rsidR="00546698">
        <w:t> </w:t>
      </w:r>
      <w:r w:rsidRPr="00AF168D">
        <w:t>roce 201</w:t>
      </w:r>
      <w:r>
        <w:t>6</w:t>
      </w:r>
      <w:r w:rsidRPr="00AF168D">
        <w:t xml:space="preserve"> doprava podílela na celkových emisích PM</w:t>
      </w:r>
      <w:r w:rsidRPr="001F7A4F">
        <w:rPr>
          <w:vertAlign w:val="subscript"/>
        </w:rPr>
        <w:t>2,5</w:t>
      </w:r>
      <w:r w:rsidRPr="00AF168D">
        <w:t xml:space="preserve"> cca 50 % a</w:t>
      </w:r>
      <w:r w:rsidR="00546698">
        <w:t> </w:t>
      </w:r>
      <w:r w:rsidRPr="00AF168D">
        <w:t>na celkových emisích oxidů dusíku cca 75 %.</w:t>
      </w:r>
      <w:r w:rsidRPr="00662AB4">
        <w:t xml:space="preserve"> </w:t>
      </w:r>
      <w:r>
        <w:t>Dle státního zdravotního ústavu v</w:t>
      </w:r>
      <w:r w:rsidR="00546698">
        <w:t> </w:t>
      </w:r>
      <w:r>
        <w:t>roce 2018 jen vlivem prachových částic došlo k</w:t>
      </w:r>
      <w:r w:rsidR="00546698">
        <w:t> </w:t>
      </w:r>
      <w:r>
        <w:t>předčasnému úmrtí 6 600 osob.</w:t>
      </w:r>
    </w:p>
    <w:p w14:paraId="555477C3" w14:textId="77777777" w:rsidR="001B4719" w:rsidRDefault="001B4719" w:rsidP="001B4719">
      <w:pPr>
        <w:jc w:val="both"/>
      </w:pPr>
      <w:r w:rsidRPr="00587D5F">
        <w:t>Zlepšením kvality ovzduší dojde ke snížení zdravotních dopadů s</w:t>
      </w:r>
      <w:r w:rsidR="00546698">
        <w:t> </w:t>
      </w:r>
      <w:r w:rsidRPr="00587D5F">
        <w:t>tím souvisejících, které zahrnují snížení imunity, zhoršení stavu astmatiků a</w:t>
      </w:r>
      <w:r w:rsidR="00546698">
        <w:t> </w:t>
      </w:r>
      <w:r w:rsidRPr="00587D5F">
        <w:t>alergiků, častější výskyt onemocnění dýchacího a</w:t>
      </w:r>
      <w:r w:rsidR="00546698">
        <w:t> </w:t>
      </w:r>
      <w:r w:rsidRPr="00587D5F">
        <w:t>kardiovaskulárního systému a</w:t>
      </w:r>
      <w:r w:rsidR="00546698">
        <w:t> </w:t>
      </w:r>
      <w:r w:rsidRPr="00587D5F">
        <w:t>způsobující genové mutace již při vývoji plodu v</w:t>
      </w:r>
      <w:r w:rsidR="00546698">
        <w:t> </w:t>
      </w:r>
      <w:r w:rsidRPr="00587D5F">
        <w:t>těhotenství.</w:t>
      </w:r>
    </w:p>
    <w:p w14:paraId="24835327" w14:textId="77777777" w:rsidR="001B4719" w:rsidRDefault="001B4719" w:rsidP="001B4719">
      <w:pPr>
        <w:jc w:val="both"/>
      </w:pPr>
      <w:r>
        <w:lastRenderedPageBreak/>
        <w:t>V sektoru dopravy také výrazně od roku 2014 trvale roste s</w:t>
      </w:r>
      <w:r w:rsidRPr="00080F42">
        <w:t>potřeba energie v</w:t>
      </w:r>
      <w:r w:rsidR="00546698">
        <w:t> </w:t>
      </w:r>
      <w:r>
        <w:rPr>
          <w:rStyle w:val="Siln"/>
        </w:rPr>
        <w:t>dopravě,</w:t>
      </w:r>
      <w:r w:rsidRPr="00080F42">
        <w:t xml:space="preserve"> což je ovlivněno zejména nárůstem individuální automobilové dopravy</w:t>
      </w:r>
      <w:r>
        <w:t xml:space="preserve"> a</w:t>
      </w:r>
      <w:r w:rsidR="00546698">
        <w:t> </w:t>
      </w:r>
      <w:r>
        <w:t>růstem spotřeby paliv</w:t>
      </w:r>
      <w:r w:rsidRPr="00080F42">
        <w:t>. V</w:t>
      </w:r>
      <w:r w:rsidR="00546698">
        <w:t> </w:t>
      </w:r>
      <w:r w:rsidRPr="00080F42">
        <w:t>roce 2017 činil podíl spotřeby energie v</w:t>
      </w:r>
      <w:r w:rsidR="00546698">
        <w:t> </w:t>
      </w:r>
      <w:r w:rsidRPr="00080F42">
        <w:t>tomto sektoru 26,9 %.</w:t>
      </w:r>
    </w:p>
    <w:p w14:paraId="5D19B471" w14:textId="77777777" w:rsidR="001B4719" w:rsidRDefault="001B4719" w:rsidP="001B4719">
      <w:pPr>
        <w:jc w:val="both"/>
      </w:pPr>
      <w:r>
        <w:t>Pro zlepšení kvality ovzduší a</w:t>
      </w:r>
      <w:r w:rsidR="00546698">
        <w:t> </w:t>
      </w:r>
      <w:r>
        <w:t>snižování emisí z</w:t>
      </w:r>
      <w:r w:rsidR="00546698">
        <w:t> </w:t>
      </w:r>
      <w:r>
        <w:t xml:space="preserve">dopravy, včetně snížení energetické náročnosti je proto mj. žádoucí posílit zastoupení nízkoemisních způsobů dopravy. </w:t>
      </w:r>
    </w:p>
    <w:p w14:paraId="3E2C3283" w14:textId="77777777" w:rsidR="001B4719" w:rsidRPr="00D5678F" w:rsidRDefault="001B4719" w:rsidP="001B4719">
      <w:pPr>
        <w:pStyle w:val="Nadpis3"/>
        <w:numPr>
          <w:ilvl w:val="2"/>
          <w:numId w:val="9"/>
        </w:numPr>
        <w:tabs>
          <w:tab w:val="left" w:pos="851"/>
          <w:tab w:val="num" w:pos="2411"/>
        </w:tabs>
        <w:ind w:left="284" w:firstLine="0"/>
        <w:jc w:val="both"/>
      </w:pPr>
      <w:bookmarkStart w:id="64" w:name="_Toc406161317"/>
      <w:bookmarkStart w:id="65" w:name="_Toc431298706"/>
      <w:bookmarkStart w:id="66" w:name="_Toc12540094"/>
      <w:bookmarkStart w:id="67" w:name="_Toc19792281"/>
      <w:bookmarkStart w:id="68" w:name="_Toc25084455"/>
      <w:bookmarkStart w:id="69" w:name="_Toc25136763"/>
      <w:bookmarkStart w:id="70" w:name="_Toc34295889"/>
      <w:r w:rsidRPr="00D5678F">
        <w:t>Ochrana klimatu</w:t>
      </w:r>
      <w:bookmarkEnd w:id="64"/>
      <w:bookmarkEnd w:id="65"/>
      <w:bookmarkEnd w:id="66"/>
      <w:bookmarkEnd w:id="67"/>
      <w:bookmarkEnd w:id="68"/>
      <w:bookmarkEnd w:id="69"/>
      <w:bookmarkEnd w:id="70"/>
    </w:p>
    <w:p w14:paraId="409A8ECD" w14:textId="77777777" w:rsidR="001B4719" w:rsidRDefault="001B4719" w:rsidP="000050AA">
      <w:pPr>
        <w:jc w:val="both"/>
      </w:pPr>
      <w:r>
        <w:t>Změna klimatu je v</w:t>
      </w:r>
      <w:r w:rsidR="00546698">
        <w:t> </w:t>
      </w:r>
      <w:r>
        <w:t>současné době jedním z</w:t>
      </w:r>
      <w:r w:rsidR="00546698">
        <w:t> </w:t>
      </w:r>
      <w:r>
        <w:t>nejzávažnějších a</w:t>
      </w:r>
      <w:r w:rsidR="00546698">
        <w:t> </w:t>
      </w:r>
      <w:r>
        <w:t>nejvíce diskutovaných globálních ekologických problémů. Její příčinou je zesilování skleníkového efektu atmosféry zapříčiněného zvyšováním koncentrace antropogenních emisí skleníkových plynů. Právě sektor dopravy je jedním z</w:t>
      </w:r>
      <w:r w:rsidR="00546698">
        <w:t> </w:t>
      </w:r>
      <w:r>
        <w:t>významných producentů emisí skleníkových plynů. V</w:t>
      </w:r>
      <w:r w:rsidR="00546698">
        <w:t> </w:t>
      </w:r>
      <w:r>
        <w:t>roce 1990 představovaly emise z</w:t>
      </w:r>
      <w:r w:rsidR="00546698">
        <w:t> </w:t>
      </w:r>
      <w:r>
        <w:t>dopravy pouhých 6,35 % celkových emisí CO</w:t>
      </w:r>
      <w:r w:rsidRPr="001F7A4F">
        <w:rPr>
          <w:vertAlign w:val="subscript"/>
        </w:rPr>
        <w:t>2</w:t>
      </w:r>
      <w:r>
        <w:t xml:space="preserve"> v</w:t>
      </w:r>
      <w:r w:rsidR="00546698">
        <w:t> </w:t>
      </w:r>
      <w:r>
        <w:t>České republice. V</w:t>
      </w:r>
      <w:r w:rsidR="00546698">
        <w:t> </w:t>
      </w:r>
      <w:r>
        <w:t>roce 2005 tento podíl činil 14,45 %. V</w:t>
      </w:r>
      <w:r w:rsidR="00546698">
        <w:t> </w:t>
      </w:r>
      <w:r>
        <w:t>roce 2016 vyprodukovala doprava již téměř 18,5 Mt CO</w:t>
      </w:r>
      <w:r w:rsidRPr="001F7A4F">
        <w:rPr>
          <w:vertAlign w:val="subscript"/>
        </w:rPr>
        <w:t>2</w:t>
      </w:r>
      <w:r>
        <w:t>. Z</w:t>
      </w:r>
      <w:r w:rsidR="00546698">
        <w:t> </w:t>
      </w:r>
      <w:r>
        <w:t>níže uvedeného grafu vyplývá, že největším producentem emisí skleníkových plynů je individuální automobilová doprava.</w:t>
      </w:r>
    </w:p>
    <w:p w14:paraId="046525B1" w14:textId="77777777" w:rsidR="000050AA" w:rsidRPr="000050AA" w:rsidRDefault="000050AA" w:rsidP="000050AA">
      <w:pPr>
        <w:pStyle w:val="Titulek"/>
        <w:keepNext/>
        <w:jc w:val="both"/>
      </w:pPr>
      <w:bookmarkStart w:id="71" w:name="_Toc34295876"/>
      <w:r>
        <w:t xml:space="preserve">Graf </w:t>
      </w:r>
      <w:r w:rsidR="001614BC">
        <w:rPr>
          <w:noProof/>
        </w:rPr>
        <w:fldChar w:fldCharType="begin"/>
      </w:r>
      <w:r w:rsidR="001614BC">
        <w:rPr>
          <w:noProof/>
        </w:rPr>
        <w:instrText xml:space="preserve"> SEQ Graf \* ARABIC </w:instrText>
      </w:r>
      <w:r w:rsidR="001614BC">
        <w:rPr>
          <w:noProof/>
        </w:rPr>
        <w:fldChar w:fldCharType="separate"/>
      </w:r>
      <w:r w:rsidR="00DF768A">
        <w:rPr>
          <w:noProof/>
        </w:rPr>
        <w:t>2</w:t>
      </w:r>
      <w:r w:rsidR="001614BC">
        <w:rPr>
          <w:noProof/>
        </w:rPr>
        <w:fldChar w:fldCharType="end"/>
      </w:r>
      <w:r>
        <w:t xml:space="preserve"> Produkce CO</w:t>
      </w:r>
      <w:r>
        <w:rPr>
          <w:vertAlign w:val="subscript"/>
        </w:rPr>
        <w:t>2</w:t>
      </w:r>
      <w:r>
        <w:t xml:space="preserve"> jednotlivými druhy dopravy v</w:t>
      </w:r>
      <w:r w:rsidR="00546698">
        <w:t> </w:t>
      </w:r>
      <w:r>
        <w:t>letech 1993-2017</w:t>
      </w:r>
      <w:bookmarkEnd w:id="71"/>
    </w:p>
    <w:p w14:paraId="3763BB43" w14:textId="77777777" w:rsidR="00D20BD4" w:rsidRDefault="001B4719" w:rsidP="001B4719">
      <w:pPr>
        <w:jc w:val="both"/>
      </w:pPr>
      <w:r w:rsidRPr="007E6D22">
        <w:rPr>
          <w:noProof/>
        </w:rPr>
        <w:drawing>
          <wp:inline distT="0" distB="0" distL="0" distR="0" wp14:anchorId="6781FD83" wp14:editId="00E78627">
            <wp:extent cx="5695950" cy="2876550"/>
            <wp:effectExtent l="0" t="0" r="0" b="0"/>
            <wp:docPr id="2" name="Graf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813C984" w14:textId="77777777" w:rsidR="001B4719" w:rsidRDefault="001B4719" w:rsidP="001B4719">
      <w:pPr>
        <w:jc w:val="both"/>
      </w:pPr>
      <w:r>
        <w:t xml:space="preserve">Zdroj: CDV </w:t>
      </w:r>
    </w:p>
    <w:p w14:paraId="7A268E10" w14:textId="77777777" w:rsidR="001B4719" w:rsidRPr="001F7A4F" w:rsidRDefault="001B4719" w:rsidP="001B4719">
      <w:pPr>
        <w:pStyle w:val="Nadpis3"/>
        <w:numPr>
          <w:ilvl w:val="2"/>
          <w:numId w:val="9"/>
        </w:numPr>
        <w:tabs>
          <w:tab w:val="left" w:pos="851"/>
          <w:tab w:val="num" w:pos="2411"/>
        </w:tabs>
        <w:ind w:left="284" w:firstLine="0"/>
        <w:jc w:val="both"/>
      </w:pPr>
      <w:bookmarkStart w:id="72" w:name="_Toc18497152"/>
      <w:bookmarkStart w:id="73" w:name="_Toc19792282"/>
      <w:bookmarkStart w:id="74" w:name="_Toc25084456"/>
      <w:bookmarkStart w:id="75" w:name="_Toc25136764"/>
      <w:bookmarkStart w:id="76" w:name="_Toc34295890"/>
      <w:bookmarkEnd w:id="72"/>
      <w:r w:rsidRPr="001F7A4F">
        <w:t>Státní politika životního prostředí</w:t>
      </w:r>
      <w:bookmarkEnd w:id="73"/>
      <w:bookmarkEnd w:id="74"/>
      <w:bookmarkEnd w:id="75"/>
      <w:bookmarkEnd w:id="76"/>
    </w:p>
    <w:p w14:paraId="3424F619" w14:textId="77777777" w:rsidR="001B4719" w:rsidRDefault="001B4719" w:rsidP="001B4719">
      <w:pPr>
        <w:jc w:val="both"/>
      </w:pPr>
      <w:r>
        <w:t>Česká republika navazuje svými strategickými dokumenty na snahy EU o</w:t>
      </w:r>
      <w:r w:rsidR="00546698">
        <w:t> </w:t>
      </w:r>
      <w:r>
        <w:t>podporu čisté mobility. Toto téma je zapracováno ve Státní politice životního prostředí, zastřešujícím dokumentu zabývajícím se environmentálními tématy ČR, protože doprava je jedním z</w:t>
      </w:r>
      <w:r w:rsidR="00546698">
        <w:t> </w:t>
      </w:r>
      <w:r>
        <w:t>hlavních zdrojů znečištění ovzduší i</w:t>
      </w:r>
      <w:r w:rsidR="00546698">
        <w:t> </w:t>
      </w:r>
      <w:r>
        <w:t>producentů skleníkových plynů.</w:t>
      </w:r>
    </w:p>
    <w:p w14:paraId="0901E158" w14:textId="77777777" w:rsidR="001B4719" w:rsidRPr="00B33815" w:rsidRDefault="001B4719" w:rsidP="001B4719">
      <w:pPr>
        <w:jc w:val="both"/>
        <w:rPr>
          <w:b/>
        </w:rPr>
      </w:pPr>
      <w:r w:rsidRPr="00B33815">
        <w:rPr>
          <w:b/>
        </w:rPr>
        <w:t>Ve stávající Státní politice životního prostředí ČR 2012 - 2020 (SPŽP) byly m</w:t>
      </w:r>
      <w:r>
        <w:rPr>
          <w:b/>
        </w:rPr>
        <w:t xml:space="preserve">imo jiné </w:t>
      </w:r>
      <w:r w:rsidRPr="00B33815">
        <w:rPr>
          <w:b/>
        </w:rPr>
        <w:t xml:space="preserve">stanoveny cíle: </w:t>
      </w:r>
    </w:p>
    <w:p w14:paraId="282EB2A7" w14:textId="77777777" w:rsidR="001B4719" w:rsidRDefault="001B4719" w:rsidP="001B4719">
      <w:pPr>
        <w:pStyle w:val="Odrka1"/>
        <w:jc w:val="both"/>
      </w:pPr>
      <w:r w:rsidRPr="001C6220">
        <w:t>Snížení emisí skleníkových plynů v</w:t>
      </w:r>
      <w:r w:rsidR="00546698">
        <w:t> </w:t>
      </w:r>
      <w:r w:rsidRPr="001C6220">
        <w:t>rámci EU ETS o</w:t>
      </w:r>
      <w:r w:rsidR="00546698">
        <w:t> </w:t>
      </w:r>
      <w:r w:rsidRPr="001C6220">
        <w:t>21 % a</w:t>
      </w:r>
      <w:r w:rsidR="00546698">
        <w:t> </w:t>
      </w:r>
      <w:r w:rsidRPr="001C6220">
        <w:t>omezení nárůstu emisí mimo EU ETS na 9 % do roku 2020 oproti úrovni roku 2005</w:t>
      </w:r>
      <w:r>
        <w:t xml:space="preserve">, </w:t>
      </w:r>
    </w:p>
    <w:p w14:paraId="228887A9" w14:textId="77777777" w:rsidR="001B4719" w:rsidRDefault="001B4719" w:rsidP="001B4719">
      <w:pPr>
        <w:pStyle w:val="Odrka1"/>
        <w:jc w:val="both"/>
      </w:pPr>
      <w:r w:rsidRPr="001C6220">
        <w:t>Zlepšení kvality ovzduší v</w:t>
      </w:r>
      <w:r w:rsidR="00546698">
        <w:t> </w:t>
      </w:r>
      <w:r w:rsidRPr="001C6220">
        <w:t>místech, kde jsou překračovány imisní limity</w:t>
      </w:r>
      <w:r>
        <w:t xml:space="preserve">, </w:t>
      </w:r>
    </w:p>
    <w:p w14:paraId="6AC933CF" w14:textId="77777777" w:rsidR="001B4719" w:rsidRDefault="001B4719" w:rsidP="001B4719">
      <w:pPr>
        <w:pStyle w:val="Odrka1"/>
        <w:jc w:val="both"/>
      </w:pPr>
      <w:r w:rsidRPr="001C6220">
        <w:t>Zajištění 10% podílu energie z</w:t>
      </w:r>
      <w:r w:rsidR="00546698">
        <w:t> </w:t>
      </w:r>
      <w:r w:rsidRPr="001C6220">
        <w:t>obnovitelných zdrojů v</w:t>
      </w:r>
      <w:r w:rsidR="00546698">
        <w:t> </w:t>
      </w:r>
      <w:r w:rsidRPr="001C6220">
        <w:t>dopravě k</w:t>
      </w:r>
      <w:r w:rsidR="00546698">
        <w:t> </w:t>
      </w:r>
      <w:r w:rsidRPr="001C6220">
        <w:t>roku 2020 při současném snížení emisí NO</w:t>
      </w:r>
      <w:r w:rsidRPr="00255A20">
        <w:rPr>
          <w:vertAlign w:val="subscript"/>
        </w:rPr>
        <w:t>x</w:t>
      </w:r>
      <w:r w:rsidRPr="001C6220">
        <w:t>, VOC a</w:t>
      </w:r>
      <w:r w:rsidR="00546698">
        <w:t> </w:t>
      </w:r>
      <w:r w:rsidRPr="001C6220">
        <w:t>PM</w:t>
      </w:r>
      <w:r w:rsidRPr="00255A20">
        <w:rPr>
          <w:vertAlign w:val="subscript"/>
        </w:rPr>
        <w:t>2,5</w:t>
      </w:r>
      <w:r w:rsidRPr="001C6220">
        <w:t xml:space="preserve"> z</w:t>
      </w:r>
      <w:r w:rsidR="00546698">
        <w:t> </w:t>
      </w:r>
      <w:r w:rsidRPr="001C6220">
        <w:t>dopravy</w:t>
      </w:r>
      <w:r>
        <w:t>.</w:t>
      </w:r>
    </w:p>
    <w:p w14:paraId="43D58F19" w14:textId="77777777" w:rsidR="001B4719" w:rsidRDefault="001B4719" w:rsidP="001B4719">
      <w:pPr>
        <w:jc w:val="both"/>
      </w:pPr>
      <w:r w:rsidRPr="00252406">
        <w:t xml:space="preserve">Začátkem roku 2019 byla započata příprava nové SPŽP pro roky 2020 – 2030, která taktéž počítá se zahrnutím čisté mobility do nově formulovaných opatření. </w:t>
      </w:r>
    </w:p>
    <w:p w14:paraId="72DF9882" w14:textId="77777777" w:rsidR="001B4719" w:rsidRPr="001F7A4F" w:rsidRDefault="001B4719" w:rsidP="001B4719">
      <w:pPr>
        <w:pStyle w:val="Nadpis3"/>
        <w:numPr>
          <w:ilvl w:val="2"/>
          <w:numId w:val="9"/>
        </w:numPr>
        <w:tabs>
          <w:tab w:val="left" w:pos="851"/>
          <w:tab w:val="num" w:pos="2411"/>
        </w:tabs>
        <w:ind w:left="284" w:firstLine="0"/>
        <w:jc w:val="both"/>
      </w:pPr>
      <w:bookmarkStart w:id="77" w:name="_Toc19792283"/>
      <w:bookmarkStart w:id="78" w:name="_Toc25084457"/>
      <w:bookmarkStart w:id="79" w:name="_Toc25136765"/>
      <w:bookmarkStart w:id="80" w:name="_Toc34295891"/>
      <w:r w:rsidRPr="001F7A4F">
        <w:lastRenderedPageBreak/>
        <w:t>Národní program snižování emisí ČR</w:t>
      </w:r>
      <w:bookmarkEnd w:id="77"/>
      <w:bookmarkEnd w:id="78"/>
      <w:bookmarkEnd w:id="79"/>
      <w:bookmarkEnd w:id="80"/>
    </w:p>
    <w:p w14:paraId="06EA98AF" w14:textId="77777777" w:rsidR="001B4719" w:rsidRDefault="001B4719" w:rsidP="001B4719">
      <w:pPr>
        <w:jc w:val="both"/>
      </w:pPr>
      <w:r>
        <w:t>Ministerstvo životního prostředí v</w:t>
      </w:r>
      <w:r w:rsidR="00546698">
        <w:t> </w:t>
      </w:r>
      <w:r>
        <w:t>roce 2018 začalo připravovat aktualizaci Národního programu snižování emisí ČR (dále jen „Program“), jakožto základního koncepčního materiálu v</w:t>
      </w:r>
      <w:r w:rsidR="00546698">
        <w:t> </w:t>
      </w:r>
      <w:r>
        <w:t>oblasti zlepšování kvality ovzduší a</w:t>
      </w:r>
      <w:r w:rsidR="00546698">
        <w:t> </w:t>
      </w:r>
      <w:r>
        <w:t>snižování emisí ze zdrojů znečišťování ovzduší. Cílem dokumentu je snížit celkovou úroveň znečištění a</w:t>
      </w:r>
      <w:r w:rsidR="00546698">
        <w:t> </w:t>
      </w:r>
      <w:r>
        <w:t>znečišťování ovzduší v</w:t>
      </w:r>
      <w:r w:rsidR="00546698">
        <w:t> </w:t>
      </w:r>
      <w:r>
        <w:t>České republice na úroveň požadovanou směrnicí Evropského parlamentu a</w:t>
      </w:r>
      <w:r w:rsidR="00546698">
        <w:t> </w:t>
      </w:r>
      <w:r>
        <w:t>Rady (EU) 2016/2284 ze dne 14. prosince 2016 o</w:t>
      </w:r>
      <w:r w:rsidR="00546698">
        <w:t> </w:t>
      </w:r>
      <w:r>
        <w:t>snížení národních emisí některých látek znečišťujících ovzduší, o</w:t>
      </w:r>
      <w:r w:rsidR="00546698">
        <w:t> </w:t>
      </w:r>
      <w:r>
        <w:t>změně směrnice 2003/35/ES a</w:t>
      </w:r>
      <w:r w:rsidR="00546698">
        <w:t> </w:t>
      </w:r>
      <w:r>
        <w:t>o zrušení směrnice 2001/81/ES.</w:t>
      </w:r>
    </w:p>
    <w:p w14:paraId="70F022F3" w14:textId="77777777" w:rsidR="001B4719" w:rsidRDefault="001B4719" w:rsidP="001B4719">
      <w:pPr>
        <w:jc w:val="both"/>
      </w:pPr>
      <w:r>
        <w:t>Program obsahuje analytickou část, která podrobně rozebírá současnou situaci v</w:t>
      </w:r>
      <w:r w:rsidR="00546698">
        <w:t> </w:t>
      </w:r>
      <w:r>
        <w:t>České republice ve vztahu k</w:t>
      </w:r>
      <w:r w:rsidR="00546698">
        <w:t> </w:t>
      </w:r>
      <w:r>
        <w:t>ochraně ovzduší. Analytická část popisuje znečišťování ovzduší, na základě emisních inventur popisuje hlavní sledované látky znečišťující ovzduší, jejich zdroje a</w:t>
      </w:r>
      <w:r w:rsidR="00546698">
        <w:t> </w:t>
      </w:r>
      <w:r>
        <w:t>hlavní hospodářské sektory z</w:t>
      </w:r>
      <w:r w:rsidR="00546698">
        <w:t> </w:t>
      </w:r>
      <w:r>
        <w:t>hlediska jejich produkce znečišťujících látek. Dále shrnuje vývoj emisí těchto znečišťujících látek v</w:t>
      </w:r>
      <w:r w:rsidR="00546698">
        <w:t> </w:t>
      </w:r>
      <w:r>
        <w:t>uplynulých letech a</w:t>
      </w:r>
      <w:r w:rsidR="00546698">
        <w:t> </w:t>
      </w:r>
      <w:r>
        <w:t>na základě projekce vývoje emisí odhaduje budoucí vývoj znečišťování ovzduší, a</w:t>
      </w:r>
      <w:r w:rsidR="00546698">
        <w:t> </w:t>
      </w:r>
      <w:r>
        <w:t>to zejména na základě dat z</w:t>
      </w:r>
      <w:r w:rsidR="00546698">
        <w:t> </w:t>
      </w:r>
      <w:r>
        <w:t>Vnitrostátního plánu ČR v</w:t>
      </w:r>
      <w:r w:rsidR="00546698">
        <w:t> </w:t>
      </w:r>
      <w:r>
        <w:t>oblasti energetiky a</w:t>
      </w:r>
      <w:r w:rsidR="00546698">
        <w:t> </w:t>
      </w:r>
      <w:r>
        <w:t xml:space="preserve">klimatu. </w:t>
      </w:r>
    </w:p>
    <w:p w14:paraId="4779B904" w14:textId="77777777" w:rsidR="001B4719" w:rsidRDefault="001B4719" w:rsidP="001B4719">
      <w:pPr>
        <w:jc w:val="both"/>
      </w:pPr>
      <w:r>
        <w:t>Z aktualizované analytické části vyplynulo, že bez přijetí dalších dodatečných opatření nebude Česká republika schopna splnit své národní závazky snížení emisí stanovené pro rok 2030 u</w:t>
      </w:r>
      <w:r w:rsidR="00546698">
        <w:t> </w:t>
      </w:r>
      <w:r>
        <w:t>většiny sledovaných znečišťujících látek (tj. NO</w:t>
      </w:r>
      <w:r w:rsidRPr="001F7A4F">
        <w:rPr>
          <w:vertAlign w:val="subscript"/>
        </w:rPr>
        <w:t>x</w:t>
      </w:r>
      <w:r>
        <w:t>, VOC, NH</w:t>
      </w:r>
      <w:r w:rsidRPr="001F7A4F">
        <w:rPr>
          <w:vertAlign w:val="subscript"/>
        </w:rPr>
        <w:t>3</w:t>
      </w:r>
      <w:r>
        <w:t>, PM</w:t>
      </w:r>
      <w:r w:rsidRPr="001F7A4F">
        <w:rPr>
          <w:vertAlign w:val="subscript"/>
        </w:rPr>
        <w:t>2,5</w:t>
      </w:r>
      <w:r>
        <w:t xml:space="preserve">). </w:t>
      </w:r>
    </w:p>
    <w:p w14:paraId="23BBA84B" w14:textId="77777777" w:rsidR="001B4719" w:rsidRDefault="001B4719" w:rsidP="001B4719">
      <w:pPr>
        <w:jc w:val="both"/>
      </w:pPr>
      <w:r>
        <w:t>Za účelem dosažení dalšího snížení emisí, byla navržena dodatečná opatření ke snížení emisí látek znečišťujících ovzduší včetně sektoru dopravy.</w:t>
      </w:r>
    </w:p>
    <w:p w14:paraId="713416EA" w14:textId="77777777" w:rsidR="001B4719" w:rsidRPr="006E65EF" w:rsidRDefault="001B4719" w:rsidP="001B4719">
      <w:pPr>
        <w:pStyle w:val="Nadpis2"/>
        <w:numPr>
          <w:ilvl w:val="1"/>
          <w:numId w:val="9"/>
        </w:numPr>
        <w:jc w:val="both"/>
      </w:pPr>
      <w:bookmarkStart w:id="81" w:name="_Toc12540097"/>
      <w:bookmarkStart w:id="82" w:name="_Toc19792284"/>
      <w:bookmarkStart w:id="83" w:name="_Toc25067649"/>
      <w:bookmarkStart w:id="84" w:name="_Toc25084458"/>
      <w:bookmarkStart w:id="85" w:name="_Toc25136766"/>
      <w:bookmarkStart w:id="86" w:name="_Toc34295892"/>
      <w:r w:rsidRPr="004A6471">
        <w:t>Výzkum a</w:t>
      </w:r>
      <w:r w:rsidR="00546698">
        <w:t> </w:t>
      </w:r>
      <w:r w:rsidRPr="004A6471">
        <w:t>vývoj</w:t>
      </w:r>
      <w:bookmarkEnd w:id="81"/>
      <w:bookmarkEnd w:id="82"/>
      <w:bookmarkEnd w:id="83"/>
      <w:bookmarkEnd w:id="84"/>
      <w:bookmarkEnd w:id="85"/>
      <w:bookmarkEnd w:id="86"/>
    </w:p>
    <w:p w14:paraId="76600EC2" w14:textId="77777777" w:rsidR="001B4719" w:rsidRPr="00925F50" w:rsidRDefault="001B4719" w:rsidP="001B4719">
      <w:pPr>
        <w:jc w:val="both"/>
      </w:pPr>
      <w:r>
        <w:t>Výzkum a</w:t>
      </w:r>
      <w:r w:rsidR="00546698">
        <w:t> </w:t>
      </w:r>
      <w:r>
        <w:t>vývoj, tak jako v</w:t>
      </w:r>
      <w:r w:rsidR="00546698">
        <w:t> </w:t>
      </w:r>
      <w:r>
        <w:t>jiných oblastech techniky, je předpokladem pro inovace, podchycení trendů, modernizaci a</w:t>
      </w:r>
      <w:r w:rsidR="00546698">
        <w:t> </w:t>
      </w:r>
      <w:r>
        <w:t>konkurenceschopnost odvětví a</w:t>
      </w:r>
      <w:r w:rsidR="00546698">
        <w:t> </w:t>
      </w:r>
      <w:r>
        <w:t>jednotlivých firem. Klíčovými součástmi oblasti výzkumu a</w:t>
      </w:r>
      <w:r w:rsidR="00546698">
        <w:t> </w:t>
      </w:r>
      <w:r>
        <w:t>vývoje jsou realistická strategie, subjekty vybavené vzdělaným lidským zdroji, disponibilní prostředky na výzkumně vývojové aktivity (se souběžně existujícím systémem vyhodnocování efektivity vynaložených prostředků, zvláště veřejných zdrojů) a</w:t>
      </w:r>
      <w:r w:rsidR="00546698">
        <w:t> </w:t>
      </w:r>
      <w:r>
        <w:t xml:space="preserve">v neposlední řadě rovněž mezinárodní spolupráce. </w:t>
      </w:r>
    </w:p>
    <w:p w14:paraId="5E231D23" w14:textId="77777777" w:rsidR="001B4719" w:rsidRDefault="001B4719" w:rsidP="001B4719">
      <w:pPr>
        <w:pStyle w:val="Nadpis3"/>
        <w:numPr>
          <w:ilvl w:val="2"/>
          <w:numId w:val="9"/>
        </w:numPr>
        <w:tabs>
          <w:tab w:val="left" w:pos="851"/>
          <w:tab w:val="num" w:pos="2411"/>
        </w:tabs>
        <w:ind w:left="284" w:firstLine="0"/>
        <w:jc w:val="both"/>
      </w:pPr>
      <w:bookmarkStart w:id="87" w:name="_Toc19792285"/>
      <w:bookmarkStart w:id="88" w:name="_Toc25084459"/>
      <w:bookmarkStart w:id="89" w:name="_Toc25136767"/>
      <w:bookmarkStart w:id="90" w:name="_Toc34295893"/>
      <w:r w:rsidRPr="00925F50">
        <w:t>Výzkum a</w:t>
      </w:r>
      <w:r w:rsidR="00546698">
        <w:t> </w:t>
      </w:r>
      <w:r w:rsidRPr="00925F50">
        <w:t>vývoj v</w:t>
      </w:r>
      <w:r w:rsidR="00546698">
        <w:t> </w:t>
      </w:r>
      <w:r w:rsidRPr="00925F50">
        <w:t xml:space="preserve">oblasti čisté mobility </w:t>
      </w:r>
      <w:r>
        <w:t>v</w:t>
      </w:r>
      <w:r w:rsidR="00546698">
        <w:t> </w:t>
      </w:r>
      <w:r w:rsidRPr="00925F50">
        <w:t>současnosti</w:t>
      </w:r>
      <w:bookmarkEnd w:id="87"/>
      <w:bookmarkEnd w:id="88"/>
      <w:bookmarkEnd w:id="89"/>
      <w:bookmarkEnd w:id="90"/>
    </w:p>
    <w:p w14:paraId="0421C0E1" w14:textId="77777777" w:rsidR="001B4719" w:rsidRPr="007929ED" w:rsidRDefault="001B4719" w:rsidP="001B4719">
      <w:pPr>
        <w:pStyle w:val="Nadpis4"/>
        <w:numPr>
          <w:ilvl w:val="3"/>
          <w:numId w:val="9"/>
        </w:numPr>
        <w:jc w:val="both"/>
      </w:pPr>
      <w:bookmarkStart w:id="91" w:name="_Toc19792286"/>
      <w:bookmarkStart w:id="92" w:name="_Toc25136768"/>
      <w:bookmarkStart w:id="93" w:name="_Toc34295894"/>
      <w:r w:rsidRPr="007929ED">
        <w:t xml:space="preserve">Národní </w:t>
      </w:r>
      <w:r>
        <w:t>a</w:t>
      </w:r>
      <w:r w:rsidR="00546698">
        <w:t> </w:t>
      </w:r>
      <w:r>
        <w:t xml:space="preserve">nadnárodní </w:t>
      </w:r>
      <w:r w:rsidRPr="007929ED">
        <w:t>úroveň</w:t>
      </w:r>
      <w:bookmarkEnd w:id="91"/>
      <w:bookmarkEnd w:id="92"/>
      <w:bookmarkEnd w:id="93"/>
    </w:p>
    <w:p w14:paraId="1DF12034" w14:textId="77777777" w:rsidR="001B4719" w:rsidRDefault="001B4719" w:rsidP="001B4719">
      <w:pPr>
        <w:jc w:val="both"/>
      </w:pPr>
      <w:r>
        <w:t>Výzkum a</w:t>
      </w:r>
      <w:r w:rsidR="00546698">
        <w:t> </w:t>
      </w:r>
      <w:r>
        <w:t>vývoj v</w:t>
      </w:r>
      <w:r w:rsidR="00546698">
        <w:t> </w:t>
      </w:r>
      <w:r>
        <w:t>oblasti dopravy a</w:t>
      </w:r>
      <w:r w:rsidR="00546698">
        <w:t> </w:t>
      </w:r>
      <w:r>
        <w:t>čisté mobility v</w:t>
      </w:r>
      <w:r w:rsidR="00546698">
        <w:t> </w:t>
      </w:r>
      <w:r>
        <w:t>ČR realizují v</w:t>
      </w:r>
      <w:r w:rsidR="00546698">
        <w:t> </w:t>
      </w:r>
      <w:r>
        <w:t xml:space="preserve">zásadě </w:t>
      </w:r>
      <w:r w:rsidRPr="00D77DF4">
        <w:rPr>
          <w:b/>
        </w:rPr>
        <w:t>subjekty dvojího typu</w:t>
      </w:r>
      <w:r>
        <w:t>: výzkumné organizace včetně vysokých škol a</w:t>
      </w:r>
      <w:r w:rsidR="00546698">
        <w:t> </w:t>
      </w:r>
      <w:r>
        <w:t>firmy. Z</w:t>
      </w:r>
      <w:r w:rsidR="00546698">
        <w:t> </w:t>
      </w:r>
      <w:r>
        <w:t>akademických pracovišť se jedná především o</w:t>
      </w:r>
      <w:r w:rsidR="00546698">
        <w:t> </w:t>
      </w:r>
      <w:r>
        <w:t>relevantní fakulty na technických vysokých školách (především dopravní, strojní a</w:t>
      </w:r>
      <w:r w:rsidR="00546698">
        <w:t> </w:t>
      </w:r>
      <w:r>
        <w:t>elektrotechnické, dále pak vysokoškolská centra).</w:t>
      </w:r>
    </w:p>
    <w:p w14:paraId="466D21AA" w14:textId="77777777" w:rsidR="001B4719" w:rsidRDefault="001B4719" w:rsidP="001B4719">
      <w:pPr>
        <w:jc w:val="both"/>
      </w:pPr>
      <w:r w:rsidRPr="005C6579">
        <w:t>Firemní výzkum se realizuje ve firmách různé velikosti – velkých (</w:t>
      </w:r>
      <w:r>
        <w:t xml:space="preserve">např. </w:t>
      </w:r>
      <w:r w:rsidRPr="005C6579">
        <w:t>Škoda Auto</w:t>
      </w:r>
      <w:r>
        <w:t>, Škoda Electric, SOR Libchavy</w:t>
      </w:r>
      <w:r w:rsidRPr="005C6579">
        <w:t>), středních i</w:t>
      </w:r>
      <w:r w:rsidR="00546698">
        <w:t> </w:t>
      </w:r>
      <w:r w:rsidRPr="005C6579">
        <w:t>malých a</w:t>
      </w:r>
      <w:r w:rsidR="00546698">
        <w:t> </w:t>
      </w:r>
      <w:r w:rsidRPr="005C6579">
        <w:t>profiluje se start-up sféra.</w:t>
      </w:r>
      <w:r>
        <w:t xml:space="preserve"> Kromě toho působí v</w:t>
      </w:r>
      <w:r w:rsidR="00546698">
        <w:t> </w:t>
      </w:r>
      <w:r>
        <w:t>ČR pobočky významných globálních výzkumných a</w:t>
      </w:r>
      <w:r w:rsidR="00546698">
        <w:t> </w:t>
      </w:r>
      <w:r>
        <w:t>zkušebních organizací i</w:t>
      </w:r>
      <w:r w:rsidR="00546698">
        <w:t> </w:t>
      </w:r>
      <w:r>
        <w:t>inženýrských služeb.</w:t>
      </w:r>
      <w:r w:rsidRPr="00252406">
        <w:t xml:space="preserve"> </w:t>
      </w:r>
      <w:r>
        <w:t>Podpora výzkumu a</w:t>
      </w:r>
      <w:r w:rsidR="00546698">
        <w:t> </w:t>
      </w:r>
      <w:r>
        <w:t>vývoje ze strany státu s</w:t>
      </w:r>
      <w:r w:rsidR="00546698">
        <w:t> </w:t>
      </w:r>
      <w:r>
        <w:t>dopravní tematikou byla financování zejména skrze programy Technologické agentury ČR:</w:t>
      </w:r>
    </w:p>
    <w:p w14:paraId="63B14821" w14:textId="77777777" w:rsidR="001B4719" w:rsidRPr="003E7FFD" w:rsidRDefault="001B4719" w:rsidP="001B4719">
      <w:pPr>
        <w:pStyle w:val="Odrka1"/>
        <w:jc w:val="both"/>
        <w:rPr>
          <w:rFonts w:cs="Arial"/>
          <w:szCs w:val="22"/>
        </w:rPr>
      </w:pPr>
      <w:r w:rsidRPr="003E7FFD">
        <w:rPr>
          <w:rFonts w:cs="Arial"/>
          <w:szCs w:val="22"/>
        </w:rPr>
        <w:t>Program Alfa</w:t>
      </w:r>
    </w:p>
    <w:p w14:paraId="2328FDDF" w14:textId="77777777" w:rsidR="001B4719" w:rsidRPr="002C61C3" w:rsidRDefault="001B4719" w:rsidP="001B4719">
      <w:pPr>
        <w:pStyle w:val="Odrka1"/>
        <w:jc w:val="both"/>
        <w:rPr>
          <w:rFonts w:cs="Arial"/>
          <w:szCs w:val="22"/>
        </w:rPr>
      </w:pPr>
      <w:r w:rsidRPr="002C61C3">
        <w:rPr>
          <w:rFonts w:cs="Arial"/>
          <w:szCs w:val="22"/>
        </w:rPr>
        <w:t>Program Epsilon</w:t>
      </w:r>
    </w:p>
    <w:p w14:paraId="76A00C5B" w14:textId="77777777" w:rsidR="001B4719" w:rsidRPr="002C61C3" w:rsidRDefault="001B4719" w:rsidP="001B4719">
      <w:pPr>
        <w:pStyle w:val="Odrka1"/>
        <w:jc w:val="both"/>
        <w:rPr>
          <w:rFonts w:cs="Arial"/>
          <w:szCs w:val="22"/>
        </w:rPr>
      </w:pPr>
      <w:r w:rsidRPr="002C61C3">
        <w:rPr>
          <w:rFonts w:cs="Arial"/>
          <w:szCs w:val="22"/>
        </w:rPr>
        <w:t>Program Eta</w:t>
      </w:r>
    </w:p>
    <w:p w14:paraId="7506EFAC" w14:textId="77777777" w:rsidR="001B4719" w:rsidRPr="00737E11" w:rsidRDefault="001B4719" w:rsidP="001B4719">
      <w:pPr>
        <w:pStyle w:val="Odrka1"/>
        <w:jc w:val="both"/>
        <w:rPr>
          <w:rFonts w:cs="Arial"/>
          <w:szCs w:val="22"/>
        </w:rPr>
      </w:pPr>
      <w:r w:rsidRPr="00737E11">
        <w:rPr>
          <w:rFonts w:cs="Arial"/>
          <w:szCs w:val="22"/>
        </w:rPr>
        <w:t>Program Beta/Beta2</w:t>
      </w:r>
    </w:p>
    <w:p w14:paraId="262599FD" w14:textId="77777777" w:rsidR="001B4719" w:rsidRPr="00255A20" w:rsidRDefault="001B4719" w:rsidP="001B4719">
      <w:pPr>
        <w:pStyle w:val="Odrka1"/>
        <w:jc w:val="both"/>
        <w:rPr>
          <w:rFonts w:cs="Arial"/>
          <w:szCs w:val="22"/>
        </w:rPr>
      </w:pPr>
      <w:r w:rsidRPr="00B55CBE">
        <w:rPr>
          <w:rFonts w:cs="Arial"/>
          <w:szCs w:val="22"/>
        </w:rPr>
        <w:t>Program Theta</w:t>
      </w:r>
    </w:p>
    <w:p w14:paraId="0B91462C" w14:textId="77777777" w:rsidR="001B4719" w:rsidRPr="00255A20" w:rsidRDefault="001B4719" w:rsidP="001B4719">
      <w:pPr>
        <w:jc w:val="both"/>
        <w:rPr>
          <w:rFonts w:cs="Arial"/>
          <w:szCs w:val="22"/>
        </w:rPr>
      </w:pPr>
      <w:r w:rsidRPr="00255A20">
        <w:rPr>
          <w:rFonts w:cs="Arial"/>
          <w:szCs w:val="22"/>
        </w:rPr>
        <w:t>a dále na Ministerstvu průmyslu a</w:t>
      </w:r>
      <w:r w:rsidR="00546698">
        <w:rPr>
          <w:rFonts w:cs="Arial"/>
          <w:szCs w:val="22"/>
        </w:rPr>
        <w:t> </w:t>
      </w:r>
      <w:r w:rsidRPr="00255A20">
        <w:rPr>
          <w:rFonts w:cs="Arial"/>
          <w:szCs w:val="22"/>
        </w:rPr>
        <w:t>obchodu zejména pomocí programu T</w:t>
      </w:r>
      <w:r>
        <w:rPr>
          <w:rFonts w:cs="Arial"/>
          <w:szCs w:val="22"/>
        </w:rPr>
        <w:t>RIO</w:t>
      </w:r>
      <w:r w:rsidRPr="00255A20">
        <w:rPr>
          <w:rFonts w:cs="Arial"/>
          <w:szCs w:val="22"/>
        </w:rPr>
        <w:t xml:space="preserve">. </w:t>
      </w:r>
    </w:p>
    <w:p w14:paraId="5F3DAF7E" w14:textId="77777777" w:rsidR="001B4719" w:rsidRPr="00255A20" w:rsidRDefault="001B4719" w:rsidP="001B4719">
      <w:pPr>
        <w:jc w:val="both"/>
        <w:rPr>
          <w:rFonts w:cs="Arial"/>
          <w:szCs w:val="22"/>
        </w:rPr>
      </w:pPr>
      <w:r w:rsidRPr="00255A20">
        <w:rPr>
          <w:rFonts w:cs="Arial"/>
          <w:szCs w:val="22"/>
        </w:rPr>
        <w:t>Na mezinárodní úrovni bylo možné čerpat podporu z</w:t>
      </w:r>
      <w:r w:rsidR="00546698">
        <w:rPr>
          <w:rFonts w:cs="Arial"/>
          <w:szCs w:val="22"/>
        </w:rPr>
        <w:t> </w:t>
      </w:r>
      <w:r w:rsidRPr="00255A20">
        <w:rPr>
          <w:rFonts w:cs="Arial"/>
          <w:szCs w:val="22"/>
        </w:rPr>
        <w:t>těchto programů:</w:t>
      </w:r>
    </w:p>
    <w:p w14:paraId="5C8266BD" w14:textId="77777777" w:rsidR="001B4719" w:rsidRPr="00255A20" w:rsidRDefault="001B4719" w:rsidP="001B4719">
      <w:pPr>
        <w:pStyle w:val="Odrka1"/>
        <w:jc w:val="both"/>
        <w:rPr>
          <w:rFonts w:cs="Arial"/>
          <w:szCs w:val="22"/>
        </w:rPr>
      </w:pPr>
      <w:r w:rsidRPr="00255A20">
        <w:rPr>
          <w:rFonts w:cs="Arial"/>
          <w:szCs w:val="22"/>
        </w:rPr>
        <w:lastRenderedPageBreak/>
        <w:t>7. rámcový program pro výzkum a</w:t>
      </w:r>
      <w:r w:rsidR="00546698">
        <w:rPr>
          <w:rFonts w:cs="Arial"/>
          <w:szCs w:val="22"/>
        </w:rPr>
        <w:t> </w:t>
      </w:r>
      <w:r w:rsidRPr="00255A20">
        <w:rPr>
          <w:rFonts w:cs="Arial"/>
          <w:szCs w:val="22"/>
        </w:rPr>
        <w:t>technologický rozvoj (projekt ZEUS)</w:t>
      </w:r>
    </w:p>
    <w:p w14:paraId="11AC4511" w14:textId="77777777" w:rsidR="001B4719" w:rsidRPr="00255A20" w:rsidRDefault="001B4719" w:rsidP="001B4719">
      <w:pPr>
        <w:pStyle w:val="Odrka1"/>
        <w:jc w:val="both"/>
        <w:rPr>
          <w:rFonts w:cs="Arial"/>
          <w:szCs w:val="22"/>
        </w:rPr>
      </w:pPr>
      <w:r w:rsidRPr="00255A20">
        <w:rPr>
          <w:rFonts w:cs="Arial"/>
          <w:szCs w:val="22"/>
        </w:rPr>
        <w:t xml:space="preserve">Horizon 2020 </w:t>
      </w:r>
    </w:p>
    <w:p w14:paraId="18E25FF1" w14:textId="77777777" w:rsidR="001B4719" w:rsidRPr="00255A20" w:rsidRDefault="001B4719" w:rsidP="001B4719">
      <w:pPr>
        <w:pStyle w:val="Odrka1"/>
        <w:jc w:val="both"/>
        <w:rPr>
          <w:rFonts w:cs="Arial"/>
          <w:szCs w:val="22"/>
        </w:rPr>
      </w:pPr>
      <w:r w:rsidRPr="00255A20">
        <w:rPr>
          <w:rFonts w:eastAsiaTheme="minorHAnsi" w:cs="Arial"/>
          <w:szCs w:val="22"/>
          <w:lang w:eastAsia="en-US"/>
        </w:rPr>
        <w:t>Evropská iniciativa pro ekologická vozidla</w:t>
      </w:r>
      <w:r w:rsidRPr="00255A20">
        <w:rPr>
          <w:rFonts w:cs="Arial"/>
          <w:szCs w:val="22"/>
        </w:rPr>
        <w:t xml:space="preserve"> (European Green Vehicle </w:t>
      </w:r>
      <w:r w:rsidRPr="00365E96">
        <w:rPr>
          <w:rFonts w:cs="Arial"/>
          <w:szCs w:val="22"/>
          <w:lang w:val="en-GB"/>
        </w:rPr>
        <w:t>Initiative</w:t>
      </w:r>
      <w:r w:rsidRPr="00255A20">
        <w:rPr>
          <w:rFonts w:cs="Arial"/>
          <w:szCs w:val="22"/>
        </w:rPr>
        <w:t>, EGVI)</w:t>
      </w:r>
    </w:p>
    <w:p w14:paraId="3F874DF5" w14:textId="77777777" w:rsidR="001B4719" w:rsidRDefault="001B4719" w:rsidP="001B4719">
      <w:pPr>
        <w:pStyle w:val="Odrka1"/>
        <w:jc w:val="both"/>
      </w:pPr>
      <w:r w:rsidRPr="00255A20">
        <w:rPr>
          <w:rFonts w:eastAsiaTheme="minorHAnsi"/>
        </w:rPr>
        <w:t>Společný podnik pro palivové články a</w:t>
      </w:r>
      <w:r w:rsidR="00546698">
        <w:t> </w:t>
      </w:r>
      <w:r w:rsidRPr="00255A20">
        <w:rPr>
          <w:rFonts w:eastAsiaTheme="minorHAnsi"/>
        </w:rPr>
        <w:t>vodík</w:t>
      </w:r>
      <w:r w:rsidRPr="00255A20">
        <w:t xml:space="preserve"> (</w:t>
      </w:r>
      <w:r w:rsidRPr="00365E96">
        <w:rPr>
          <w:lang w:val="en-GB"/>
        </w:rPr>
        <w:t>Fuel Cells</w:t>
      </w:r>
      <w:r w:rsidRPr="002C61C3">
        <w:t xml:space="preserve"> and Hydrogen Joint </w:t>
      </w:r>
      <w:r w:rsidRPr="00365E96">
        <w:rPr>
          <w:lang w:val="en-GB"/>
        </w:rPr>
        <w:t>Undertaking</w:t>
      </w:r>
      <w:r w:rsidRPr="002C61C3">
        <w:t>, FCH</w:t>
      </w:r>
      <w:r w:rsidR="00365E96">
        <w:t> </w:t>
      </w:r>
      <w:r w:rsidRPr="002C61C3">
        <w:t>J</w:t>
      </w:r>
      <w:r w:rsidRPr="00737E11">
        <w:t>U)</w:t>
      </w:r>
      <w:r w:rsidRPr="00B55CBE">
        <w:t>.</w:t>
      </w:r>
      <w:bookmarkStart w:id="94" w:name="_Toc18497166"/>
      <w:bookmarkStart w:id="95" w:name="_Toc18497174"/>
      <w:bookmarkEnd w:id="94"/>
      <w:bookmarkEnd w:id="95"/>
    </w:p>
    <w:p w14:paraId="44C68CB1" w14:textId="77777777" w:rsidR="001B4719" w:rsidRDefault="001B4719" w:rsidP="001B4719">
      <w:pPr>
        <w:pStyle w:val="Nadpis3"/>
        <w:numPr>
          <w:ilvl w:val="2"/>
          <w:numId w:val="9"/>
        </w:numPr>
        <w:tabs>
          <w:tab w:val="left" w:pos="851"/>
          <w:tab w:val="num" w:pos="2411"/>
        </w:tabs>
        <w:ind w:left="284" w:firstLine="0"/>
        <w:jc w:val="both"/>
      </w:pPr>
      <w:bookmarkStart w:id="96" w:name="_Toc19792287"/>
      <w:bookmarkStart w:id="97" w:name="_Toc25084460"/>
      <w:bookmarkStart w:id="98" w:name="_Toc25136769"/>
      <w:bookmarkStart w:id="99" w:name="_Toc34295895"/>
      <w:r w:rsidRPr="00925F50">
        <w:t>Výzkum a</w:t>
      </w:r>
      <w:r w:rsidR="00546698">
        <w:t> </w:t>
      </w:r>
      <w:r w:rsidRPr="00925F50">
        <w:t>vývoj v</w:t>
      </w:r>
      <w:r w:rsidR="00546698">
        <w:t> </w:t>
      </w:r>
      <w:r w:rsidRPr="00925F50">
        <w:t>oblasti čisté mobility do budoucna – možnosti a</w:t>
      </w:r>
      <w:r w:rsidR="00546698">
        <w:t> </w:t>
      </w:r>
      <w:r w:rsidRPr="00925F50">
        <w:t>mechanismy</w:t>
      </w:r>
      <w:bookmarkEnd w:id="96"/>
      <w:bookmarkEnd w:id="97"/>
      <w:bookmarkEnd w:id="98"/>
      <w:bookmarkEnd w:id="99"/>
    </w:p>
    <w:p w14:paraId="1010303B" w14:textId="77777777" w:rsidR="001B4719" w:rsidRPr="007929ED" w:rsidRDefault="001B4719" w:rsidP="001B4719">
      <w:pPr>
        <w:pStyle w:val="Nadpis4"/>
        <w:numPr>
          <w:ilvl w:val="3"/>
          <w:numId w:val="9"/>
        </w:numPr>
        <w:jc w:val="both"/>
      </w:pPr>
      <w:bookmarkStart w:id="100" w:name="_Toc19792288"/>
      <w:bookmarkStart w:id="101" w:name="_Toc25136770"/>
      <w:bookmarkStart w:id="102" w:name="_Toc34295896"/>
      <w:r w:rsidRPr="007929ED">
        <w:t>Národní úroveň</w:t>
      </w:r>
      <w:bookmarkEnd w:id="100"/>
      <w:bookmarkEnd w:id="101"/>
      <w:bookmarkEnd w:id="102"/>
    </w:p>
    <w:p w14:paraId="5816F750" w14:textId="77777777" w:rsidR="001B4719" w:rsidRDefault="001B4719" w:rsidP="001B4719">
      <w:pPr>
        <w:jc w:val="both"/>
      </w:pPr>
      <w:r>
        <w:t>V roce 2019 byly schváleny 3 výzkumné programy, které do velké míry nahradily program Epsilon. Jedná se o</w:t>
      </w:r>
      <w:r w:rsidR="00546698">
        <w:t> </w:t>
      </w:r>
      <w:r>
        <w:t xml:space="preserve">program Ministerstva dopravy </w:t>
      </w:r>
      <w:r w:rsidRPr="00A71068">
        <w:rPr>
          <w:b/>
        </w:rPr>
        <w:t>Doprava 2020+</w:t>
      </w:r>
      <w:r>
        <w:t>, dále program Ministerstva průmyslu a</w:t>
      </w:r>
      <w:r w:rsidR="00546698">
        <w:t> </w:t>
      </w:r>
      <w:r>
        <w:t xml:space="preserve">obchodu </w:t>
      </w:r>
      <w:r w:rsidRPr="00A71068">
        <w:rPr>
          <w:b/>
        </w:rPr>
        <w:t>T</w:t>
      </w:r>
      <w:r>
        <w:rPr>
          <w:b/>
        </w:rPr>
        <w:t>REND</w:t>
      </w:r>
      <w:r>
        <w:t xml:space="preserve"> a</w:t>
      </w:r>
      <w:r w:rsidR="00546698">
        <w:t> </w:t>
      </w:r>
      <w:r>
        <w:t>tématu čisté mobility se také částečně věnuje program Ministerstva životního prostředí</w:t>
      </w:r>
      <w:r w:rsidRPr="00A71068">
        <w:rPr>
          <w:b/>
        </w:rPr>
        <w:t>, Prostředí pro život</w:t>
      </w:r>
      <w:r>
        <w:rPr>
          <w:b/>
        </w:rPr>
        <w:t xml:space="preserve">. </w:t>
      </w:r>
      <w:r>
        <w:t>Doba trvání programu se předpokládá v</w:t>
      </w:r>
      <w:r w:rsidR="00546698">
        <w:t> </w:t>
      </w:r>
      <w:r>
        <w:t>letech 2020 – 2026</w:t>
      </w:r>
      <w:r w:rsidR="008F2344">
        <w:t>/20</w:t>
      </w:r>
      <w:r>
        <w:t>27.</w:t>
      </w:r>
    </w:p>
    <w:p w14:paraId="041A9487" w14:textId="77777777" w:rsidR="001B4719" w:rsidRDefault="001B4719" w:rsidP="001B4719">
      <w:pPr>
        <w:jc w:val="both"/>
      </w:pPr>
      <w:r w:rsidRPr="00AE4483">
        <w:rPr>
          <w:u w:val="single"/>
        </w:rPr>
        <w:t>DOPRAVA 2020+</w:t>
      </w:r>
      <w:r>
        <w:t>, po</w:t>
      </w:r>
      <w:r w:rsidRPr="008B2C65">
        <w:t>skytovatelem a</w:t>
      </w:r>
      <w:r w:rsidR="00546698">
        <w:t> </w:t>
      </w:r>
      <w:r w:rsidRPr="008B2C65">
        <w:t xml:space="preserve">realizátorem programu </w:t>
      </w:r>
      <w:r>
        <w:t>zůstává</w:t>
      </w:r>
      <w:r w:rsidRPr="008B2C65">
        <w:t xml:space="preserve"> T</w:t>
      </w:r>
      <w:r>
        <w:t>echnologická agentura ČR</w:t>
      </w:r>
      <w:r w:rsidRPr="008B2C65">
        <w:t>.</w:t>
      </w:r>
    </w:p>
    <w:p w14:paraId="0AC0B811" w14:textId="77777777" w:rsidR="001B4719" w:rsidRDefault="001B4719" w:rsidP="001B4719">
      <w:pPr>
        <w:jc w:val="both"/>
      </w:pPr>
      <w:r w:rsidRPr="00D77DF4">
        <w:t xml:space="preserve">Program je zaměřen na oblasti vymezené </w:t>
      </w:r>
      <w:r>
        <w:t>v</w:t>
      </w:r>
      <w:r w:rsidR="00546698">
        <w:t> </w:t>
      </w:r>
      <w:r>
        <w:t>Národní politice výzkumu, vývoje a</w:t>
      </w:r>
      <w:r w:rsidR="00546698">
        <w:t> </w:t>
      </w:r>
      <w:r>
        <w:t>inovací</w:t>
      </w:r>
      <w:r w:rsidRPr="00D77DF4">
        <w:t>, která stanovuje šest specifických cílů představujících hlavní témata dopravního výzkumu, vývoje a</w:t>
      </w:r>
      <w:r w:rsidR="00546698">
        <w:t> </w:t>
      </w:r>
      <w:r w:rsidRPr="00D77DF4">
        <w:t>inovací. Těmito tématy jsou udržitelná doprava, interoperabilní doprava, bezpečná doprava, ekonomická doprava, inteligentní doprava a</w:t>
      </w:r>
      <w:r w:rsidR="00546698">
        <w:t> </w:t>
      </w:r>
      <w:r w:rsidRPr="00D77DF4">
        <w:t>prostorová data v</w:t>
      </w:r>
      <w:r w:rsidR="00546698">
        <w:t> </w:t>
      </w:r>
      <w:r w:rsidRPr="00D77DF4">
        <w:t>dopravě. Program chápe dopravu v</w:t>
      </w:r>
      <w:r w:rsidR="00546698">
        <w:t> </w:t>
      </w:r>
      <w:r w:rsidRPr="00D77DF4">
        <w:t>jejím širším slova smyslu jako souhrn jejích čtyř prvků, tzn. (1) dopravní infrastrukturu, (2) dopravní prostředky, (3) uživatele dopravy a</w:t>
      </w:r>
      <w:r w:rsidR="00546698">
        <w:t> </w:t>
      </w:r>
      <w:r w:rsidRPr="00D77DF4">
        <w:t>(4) vlastní řízení dopravního provozu nebo přepravního procesu (produkt dopravy).</w:t>
      </w:r>
    </w:p>
    <w:p w14:paraId="1E62206C" w14:textId="77777777" w:rsidR="001B4719" w:rsidRPr="00EB77A2" w:rsidRDefault="001B4719" w:rsidP="001B4719">
      <w:pPr>
        <w:jc w:val="both"/>
        <w:rPr>
          <w:rFonts w:cs="Arial"/>
          <w:szCs w:val="22"/>
        </w:rPr>
      </w:pPr>
      <w:r w:rsidRPr="00EB77A2">
        <w:rPr>
          <w:rFonts w:cs="Arial"/>
          <w:szCs w:val="22"/>
        </w:rPr>
        <w:t>Specifické cíle programu:</w:t>
      </w:r>
    </w:p>
    <w:p w14:paraId="35828436" w14:textId="77777777" w:rsidR="001B4719" w:rsidRDefault="001B4719" w:rsidP="001B4719">
      <w:pPr>
        <w:pStyle w:val="Odstavecseseznamem"/>
        <w:numPr>
          <w:ilvl w:val="0"/>
          <w:numId w:val="13"/>
        </w:numPr>
        <w:spacing w:before="0" w:after="0"/>
        <w:jc w:val="both"/>
      </w:pPr>
      <w:r w:rsidRPr="00A71068">
        <w:rPr>
          <w:rFonts w:cs="Arial"/>
          <w:szCs w:val="22"/>
        </w:rPr>
        <w:t>udržitelná doprava</w:t>
      </w:r>
    </w:p>
    <w:p w14:paraId="6B16CF33" w14:textId="77777777" w:rsidR="001B4719" w:rsidRPr="00D77DF4" w:rsidRDefault="001B4719" w:rsidP="001B4719">
      <w:pPr>
        <w:jc w:val="both"/>
      </w:pPr>
      <w:r w:rsidRPr="00D77DF4">
        <w:t>Předmětem výzkumu budou nové alternativní zdroje energie v</w:t>
      </w:r>
      <w:r w:rsidR="00546698">
        <w:t> </w:t>
      </w:r>
      <w:r w:rsidRPr="00D77DF4">
        <w:t>dopravě včetně zabezpečení systémů distribuce a</w:t>
      </w:r>
      <w:r w:rsidR="00546698">
        <w:t> </w:t>
      </w:r>
      <w:r w:rsidRPr="00D77DF4">
        <w:t>skladování nových alternativních paliv či nové systémy pohonu dopravy. Snižování energetické náročnosti dopravy bude dosaženo zejména rozvojem elektromobility s</w:t>
      </w:r>
      <w:r w:rsidR="00546698">
        <w:t> </w:t>
      </w:r>
      <w:r w:rsidRPr="00D77DF4">
        <w:t>důrazem na hledání nových způsobů skladování elektrické energie a</w:t>
      </w:r>
      <w:r w:rsidR="00546698">
        <w:t> </w:t>
      </w:r>
      <w:r w:rsidRPr="00D77DF4">
        <w:t>posilováním významu multimodálních služeb v</w:t>
      </w:r>
      <w:r w:rsidR="00546698">
        <w:t> </w:t>
      </w:r>
      <w:r w:rsidRPr="00D77DF4">
        <w:t>osobní i</w:t>
      </w:r>
      <w:r w:rsidR="00546698">
        <w:t> </w:t>
      </w:r>
      <w:r w:rsidRPr="00D77DF4">
        <w:t>nákladní dopravě. Další oblastí výzkumu bude i</w:t>
      </w:r>
      <w:r w:rsidR="00546698">
        <w:t> </w:t>
      </w:r>
      <w:r w:rsidRPr="00D77DF4">
        <w:t>omezení negativních vlivů dopravní infrastruktury v</w:t>
      </w:r>
      <w:r w:rsidR="00546698">
        <w:t> </w:t>
      </w:r>
      <w:r w:rsidRPr="00D77DF4">
        <w:t>podobě nežádoucích emisí hluku,</w:t>
      </w:r>
      <w:r w:rsidR="00B20629">
        <w:t xml:space="preserve"> prachu či skleníkových plynů,</w:t>
      </w:r>
      <w:r w:rsidR="00546698">
        <w:t> </w:t>
      </w:r>
      <w:r w:rsidRPr="00D77DF4">
        <w:t>fragmentace krajiny a</w:t>
      </w:r>
      <w:r w:rsidR="00546698">
        <w:t> </w:t>
      </w:r>
      <w:r w:rsidRPr="00D77DF4">
        <w:t>výzkum a</w:t>
      </w:r>
      <w:r w:rsidR="00546698">
        <w:t> </w:t>
      </w:r>
      <w:r w:rsidRPr="00D77DF4">
        <w:t>vývoj metod, opatření, inovací a</w:t>
      </w:r>
      <w:r w:rsidR="00546698">
        <w:t> </w:t>
      </w:r>
      <w:r w:rsidRPr="00D77DF4">
        <w:t>technických řešení vedoucí ke snižování zdravotně rizikových emisí z</w:t>
      </w:r>
      <w:r w:rsidR="00546698">
        <w:t> </w:t>
      </w:r>
      <w:r w:rsidRPr="00D77DF4">
        <w:t>dopravy.</w:t>
      </w:r>
    </w:p>
    <w:p w14:paraId="6517D195" w14:textId="77777777" w:rsidR="001B4719" w:rsidRPr="00A71068" w:rsidRDefault="001B4719" w:rsidP="001B4719">
      <w:pPr>
        <w:pStyle w:val="Odstavecseseznamem"/>
        <w:numPr>
          <w:ilvl w:val="0"/>
          <w:numId w:val="13"/>
        </w:numPr>
        <w:spacing w:before="60" w:after="60"/>
        <w:ind w:left="714" w:hanging="357"/>
        <w:jc w:val="both"/>
        <w:rPr>
          <w:rFonts w:cs="Arial"/>
        </w:rPr>
      </w:pPr>
      <w:r w:rsidRPr="00A71068">
        <w:rPr>
          <w:rFonts w:cs="Arial"/>
        </w:rPr>
        <w:t>bezpečná a</w:t>
      </w:r>
      <w:r w:rsidR="00546698">
        <w:rPr>
          <w:rFonts w:cs="Arial"/>
        </w:rPr>
        <w:t> </w:t>
      </w:r>
      <w:r w:rsidRPr="00A71068">
        <w:rPr>
          <w:rFonts w:cs="Arial"/>
        </w:rPr>
        <w:t>odolná doprava a</w:t>
      </w:r>
      <w:r w:rsidR="00546698">
        <w:rPr>
          <w:rFonts w:cs="Arial"/>
        </w:rPr>
        <w:t> </w:t>
      </w:r>
      <w:r w:rsidRPr="00A71068">
        <w:rPr>
          <w:rFonts w:cs="Arial"/>
        </w:rPr>
        <w:t>dopravní infrastruktura</w:t>
      </w:r>
    </w:p>
    <w:p w14:paraId="5DD03D49" w14:textId="77777777" w:rsidR="001B4719" w:rsidRPr="00A71068" w:rsidRDefault="001B4719" w:rsidP="001B4719">
      <w:pPr>
        <w:pStyle w:val="Odstavecseseznamem"/>
        <w:numPr>
          <w:ilvl w:val="0"/>
          <w:numId w:val="13"/>
        </w:numPr>
        <w:spacing w:before="60" w:after="60"/>
        <w:ind w:left="714" w:hanging="357"/>
        <w:jc w:val="both"/>
        <w:rPr>
          <w:rFonts w:cs="Arial"/>
        </w:rPr>
      </w:pPr>
      <w:r w:rsidRPr="00A71068">
        <w:rPr>
          <w:rFonts w:cs="Arial"/>
        </w:rPr>
        <w:t>přístupná a</w:t>
      </w:r>
      <w:r w:rsidR="00546698">
        <w:rPr>
          <w:rFonts w:cs="Arial"/>
        </w:rPr>
        <w:t> </w:t>
      </w:r>
      <w:r w:rsidRPr="00A71068">
        <w:rPr>
          <w:rFonts w:cs="Arial"/>
        </w:rPr>
        <w:t>interoperabilní doprava</w:t>
      </w:r>
    </w:p>
    <w:p w14:paraId="18CBF289" w14:textId="77777777" w:rsidR="001B4719" w:rsidRPr="00A71068" w:rsidRDefault="001B4719" w:rsidP="001B4719">
      <w:pPr>
        <w:pStyle w:val="Odstavecseseznamem"/>
        <w:numPr>
          <w:ilvl w:val="0"/>
          <w:numId w:val="13"/>
        </w:numPr>
        <w:spacing w:before="60" w:after="60"/>
        <w:ind w:left="714" w:hanging="357"/>
        <w:jc w:val="both"/>
        <w:rPr>
          <w:rFonts w:cs="Arial"/>
        </w:rPr>
      </w:pPr>
      <w:r w:rsidRPr="00A71068">
        <w:rPr>
          <w:rFonts w:cs="Arial"/>
        </w:rPr>
        <w:t>automatizace, digitalizace, navigační a</w:t>
      </w:r>
      <w:r w:rsidR="00546698">
        <w:rPr>
          <w:rFonts w:cs="Arial"/>
        </w:rPr>
        <w:t> </w:t>
      </w:r>
      <w:r w:rsidRPr="00A71068">
        <w:rPr>
          <w:rFonts w:cs="Arial"/>
        </w:rPr>
        <w:t>družicové systémy</w:t>
      </w:r>
    </w:p>
    <w:p w14:paraId="63244384" w14:textId="77777777" w:rsidR="001B4719" w:rsidRPr="004A5AB9" w:rsidRDefault="001B4719" w:rsidP="001B4719">
      <w:pPr>
        <w:pStyle w:val="Titulek"/>
        <w:keepNext/>
        <w:jc w:val="both"/>
      </w:pPr>
      <w:r w:rsidRPr="00710625">
        <w:rPr>
          <w:b w:val="0"/>
        </w:rPr>
        <w:t>Předpokládaná průměrná míra podpory na program je 80 %. Celkové výdaje programu ze státního rozpočtu činí 1,95 mld. Kč.</w:t>
      </w:r>
    </w:p>
    <w:p w14:paraId="013EFF51" w14:textId="77777777" w:rsidR="001B4719" w:rsidRDefault="001B4719" w:rsidP="001B4719">
      <w:pPr>
        <w:jc w:val="both"/>
      </w:pPr>
      <w:r>
        <w:t>Projekty v</w:t>
      </w:r>
      <w:r w:rsidR="00546698">
        <w:t> </w:t>
      </w:r>
      <w:r>
        <w:t>dopravní problematice včetně oblasti čisté mobility lze financovat rovněž v</w:t>
      </w:r>
      <w:r w:rsidR="00546698">
        <w:t> </w:t>
      </w:r>
      <w:r>
        <w:t>dalších programech podpory výzkumu a</w:t>
      </w:r>
      <w:r w:rsidR="00546698">
        <w:t> </w:t>
      </w:r>
      <w:r>
        <w:t>vývoje, zejména v</w:t>
      </w:r>
      <w:r w:rsidR="00546698">
        <w:t> </w:t>
      </w:r>
      <w:r>
        <w:t>programu MPO TREND, který je implementován Technologickou agenturou ČR. Hlavním cílem programu je zvýšení mezinárodní konkurenceschopnosti podniků, především rozšířením jejich trhů v</w:t>
      </w:r>
      <w:r w:rsidR="00546698">
        <w:t> </w:t>
      </w:r>
      <w:r>
        <w:t>zahraničí, pronikáním na trhy nové či posunem výše v</w:t>
      </w:r>
      <w:r w:rsidR="00546698">
        <w:t> </w:t>
      </w:r>
      <w:r>
        <w:t>globálních hodnotových řetězcích. Podporovány budou především projekty rozvíjející nové technologie a</w:t>
      </w:r>
      <w:r w:rsidR="00546698">
        <w:t> </w:t>
      </w:r>
      <w:r>
        <w:t>materiály, zvyšující míru automatizace a</w:t>
      </w:r>
      <w:r w:rsidR="00546698">
        <w:t> </w:t>
      </w:r>
      <w:r>
        <w:t>robotizace a</w:t>
      </w:r>
      <w:r w:rsidR="00546698">
        <w:t> </w:t>
      </w:r>
      <w:r>
        <w:t>využití digitálních technologií. Návrhy projektů naplňující témata vycházející z</w:t>
      </w:r>
      <w:r w:rsidR="00546698">
        <w:t> </w:t>
      </w:r>
      <w:r>
        <w:t>Memoranda o</w:t>
      </w:r>
      <w:r w:rsidR="00546698">
        <w:t> </w:t>
      </w:r>
      <w:r>
        <w:t>budoucnosti automobilového průmyslu v</w:t>
      </w:r>
      <w:r w:rsidR="00546698">
        <w:t> </w:t>
      </w:r>
      <w:r>
        <w:t>ČR, resp. na něj navázaného Akčního plánu, jsou při hodnocení bonifikovány.</w:t>
      </w:r>
    </w:p>
    <w:p w14:paraId="68D56A2A" w14:textId="77777777" w:rsidR="001B4719" w:rsidRDefault="001B4719" w:rsidP="001B4719">
      <w:pPr>
        <w:pStyle w:val="Nadpis4"/>
        <w:numPr>
          <w:ilvl w:val="3"/>
          <w:numId w:val="9"/>
        </w:numPr>
        <w:jc w:val="both"/>
      </w:pPr>
      <w:bookmarkStart w:id="103" w:name="_Toc18497180"/>
      <w:bookmarkStart w:id="104" w:name="_Toc19792289"/>
      <w:bookmarkStart w:id="105" w:name="_Toc25136771"/>
      <w:bookmarkStart w:id="106" w:name="_Toc34295897"/>
      <w:bookmarkEnd w:id="103"/>
      <w:r w:rsidRPr="007929ED">
        <w:lastRenderedPageBreak/>
        <w:t>Evropská úroveň</w:t>
      </w:r>
      <w:bookmarkEnd w:id="104"/>
      <w:bookmarkEnd w:id="105"/>
      <w:bookmarkEnd w:id="106"/>
    </w:p>
    <w:p w14:paraId="5E56BFBF" w14:textId="77777777" w:rsidR="001B4719" w:rsidRDefault="001B4719" w:rsidP="001B4719">
      <w:pPr>
        <w:jc w:val="both"/>
      </w:pPr>
      <w:r w:rsidRPr="002363B3">
        <w:rPr>
          <w:b/>
        </w:rPr>
        <w:t>Program Horizon Europe (2021 – 2027</w:t>
      </w:r>
      <w:r w:rsidRPr="00D77DF4">
        <w:t>) představuje následníka programu Horizon 2020.</w:t>
      </w:r>
      <w:r>
        <w:t xml:space="preserve"> Program je v</w:t>
      </w:r>
      <w:r w:rsidR="00546698">
        <w:t> </w:t>
      </w:r>
      <w:r>
        <w:t>závěrečném stádiu vyjednávání, jeho struktura po Trialogu (březen 2019) je znázorněna na následujícím obrázku:</w:t>
      </w:r>
    </w:p>
    <w:p w14:paraId="4106FCAC" w14:textId="77777777" w:rsidR="000050AA" w:rsidRDefault="000050AA" w:rsidP="000050AA">
      <w:pPr>
        <w:pStyle w:val="Titulek"/>
        <w:keepNext/>
        <w:jc w:val="both"/>
      </w:pPr>
      <w:bookmarkStart w:id="107" w:name="_Toc25230408"/>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w:t>
      </w:r>
      <w:r w:rsidR="001614BC">
        <w:rPr>
          <w:noProof/>
        </w:rPr>
        <w:fldChar w:fldCharType="end"/>
      </w:r>
      <w:r w:rsidRPr="000050AA">
        <w:t xml:space="preserve"> </w:t>
      </w:r>
      <w:r>
        <w:t>Předběžná s</w:t>
      </w:r>
      <w:r w:rsidRPr="00CF7BD5">
        <w:t>truktura programu Horizon Europe</w:t>
      </w:r>
      <w:bookmarkEnd w:id="107"/>
    </w:p>
    <w:p w14:paraId="441816BE" w14:textId="77777777" w:rsidR="001B4719" w:rsidRDefault="001B4719" w:rsidP="001B4719">
      <w:pPr>
        <w:jc w:val="both"/>
      </w:pPr>
      <w:r>
        <w:rPr>
          <w:noProof/>
        </w:rPr>
        <w:drawing>
          <wp:inline distT="0" distB="0" distL="0" distR="0" wp14:anchorId="4D122770" wp14:editId="4C7FC00A">
            <wp:extent cx="5760720" cy="3237230"/>
            <wp:effectExtent l="0" t="0" r="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 europe 2021-2027.png"/>
                    <pic:cNvPicPr/>
                  </pic:nvPicPr>
                  <pic:blipFill>
                    <a:blip r:embed="rId11">
                      <a:extLst>
                        <a:ext uri="{28A0092B-C50C-407E-A947-70E740481C1C}">
                          <a14:useLocalDpi xmlns:a14="http://schemas.microsoft.com/office/drawing/2010/main" val="0"/>
                        </a:ext>
                      </a:extLst>
                    </a:blip>
                    <a:stretch>
                      <a:fillRect/>
                    </a:stretch>
                  </pic:blipFill>
                  <pic:spPr>
                    <a:xfrm>
                      <a:off x="0" y="0"/>
                      <a:ext cx="5760720" cy="3237230"/>
                    </a:xfrm>
                    <a:prstGeom prst="rect">
                      <a:avLst/>
                    </a:prstGeom>
                  </pic:spPr>
                </pic:pic>
              </a:graphicData>
            </a:graphic>
          </wp:inline>
        </w:drawing>
      </w:r>
    </w:p>
    <w:p w14:paraId="6B2D6311" w14:textId="77777777" w:rsidR="001B4719" w:rsidRDefault="001B4719" w:rsidP="001B4719">
      <w:pPr>
        <w:jc w:val="both"/>
      </w:pPr>
      <w:r>
        <w:t>Doprava tvoří klastr s</w:t>
      </w:r>
      <w:r w:rsidR="00546698">
        <w:t> </w:t>
      </w:r>
      <w:r>
        <w:t>energetikou a</w:t>
      </w:r>
      <w:r w:rsidR="00546698">
        <w:t> </w:t>
      </w:r>
      <w:r>
        <w:t>klimatickými tématy.</w:t>
      </w:r>
    </w:p>
    <w:p w14:paraId="473E8088" w14:textId="77777777" w:rsidR="001B4719" w:rsidRDefault="001B4719" w:rsidP="001B4719">
      <w:pPr>
        <w:jc w:val="both"/>
      </w:pPr>
      <w:r>
        <w:t xml:space="preserve">Následovníkem EGVI (z Horizon 2020) je Evropskou komisí navržena iniciativa </w:t>
      </w:r>
      <w:r w:rsidRPr="00BD293D">
        <w:rPr>
          <w:b/>
        </w:rPr>
        <w:t>Towards zero-emission road</w:t>
      </w:r>
      <w:r w:rsidRPr="007B597B">
        <w:rPr>
          <w:b/>
        </w:rPr>
        <w:t xml:space="preserve"> transport (2ZERO)</w:t>
      </w:r>
      <w:r>
        <w:t>. Cílem je významným způsobem přispět k</w:t>
      </w:r>
      <w:r w:rsidR="00546698">
        <w:t> </w:t>
      </w:r>
      <w:r>
        <w:t>transformaci na nízkoemisní silniční dopravu a</w:t>
      </w:r>
      <w:r w:rsidR="00546698">
        <w:t> </w:t>
      </w:r>
      <w:r>
        <w:t>napomoci vývoji nových typů nízkoemisních vozidel.</w:t>
      </w:r>
    </w:p>
    <w:p w14:paraId="43D5B6E6" w14:textId="77777777" w:rsidR="001B4719" w:rsidRDefault="001B4719" w:rsidP="001B4719">
      <w:pPr>
        <w:jc w:val="both"/>
      </w:pPr>
      <w:r>
        <w:t xml:space="preserve">Jako nástupce Společného podniku (z Horizon 2020) má být mechanismus </w:t>
      </w:r>
      <w:r w:rsidRPr="00BD293D">
        <w:rPr>
          <w:b/>
        </w:rPr>
        <w:t>Clean</w:t>
      </w:r>
      <w:r w:rsidRPr="007B597B">
        <w:rPr>
          <w:b/>
        </w:rPr>
        <w:t xml:space="preserve"> Hydrogen</w:t>
      </w:r>
      <w:r>
        <w:t>, jenž má facilitovat demonstrování technologií a</w:t>
      </w:r>
      <w:r w:rsidR="00546698">
        <w:t> </w:t>
      </w:r>
      <w:r>
        <w:t xml:space="preserve">jejich uvádění na trh (komercializace) pokrývající celý hodnotový řetězec. </w:t>
      </w:r>
    </w:p>
    <w:p w14:paraId="78D6790E" w14:textId="77777777" w:rsidR="001B4719" w:rsidRDefault="001B4719" w:rsidP="001B4719">
      <w:pPr>
        <w:pStyle w:val="Nadpis3"/>
        <w:numPr>
          <w:ilvl w:val="2"/>
          <w:numId w:val="9"/>
        </w:numPr>
        <w:tabs>
          <w:tab w:val="left" w:pos="851"/>
          <w:tab w:val="num" w:pos="2411"/>
        </w:tabs>
        <w:ind w:left="284" w:firstLine="0"/>
        <w:jc w:val="both"/>
      </w:pPr>
      <w:bookmarkStart w:id="108" w:name="_Toc19792290"/>
      <w:bookmarkStart w:id="109" w:name="_Toc25084461"/>
      <w:bookmarkStart w:id="110" w:name="_Toc25136772"/>
      <w:bookmarkStart w:id="111" w:name="_Toc34295898"/>
      <w:r w:rsidRPr="004968A8">
        <w:t>Prioritní oblasti pro výzkum a</w:t>
      </w:r>
      <w:r w:rsidR="00546698">
        <w:t> </w:t>
      </w:r>
      <w:r w:rsidRPr="004968A8">
        <w:t>vývoj v</w:t>
      </w:r>
      <w:r w:rsidR="00546698">
        <w:t> </w:t>
      </w:r>
      <w:r>
        <w:t>čisté mobilitě</w:t>
      </w:r>
      <w:bookmarkEnd w:id="108"/>
      <w:bookmarkEnd w:id="109"/>
      <w:bookmarkEnd w:id="110"/>
      <w:bookmarkEnd w:id="111"/>
    </w:p>
    <w:p w14:paraId="56EF16AE" w14:textId="77777777" w:rsidR="001B4719" w:rsidRPr="0082383A" w:rsidRDefault="001B4719" w:rsidP="001B4719">
      <w:r w:rsidRPr="0082383A">
        <w:t>Prioritní témata byla stanovena v</w:t>
      </w:r>
      <w:r w:rsidR="00546698">
        <w:t> </w:t>
      </w:r>
      <w:r w:rsidRPr="0082383A">
        <w:t>rámci diskuzí v</w:t>
      </w:r>
      <w:r w:rsidR="00546698">
        <w:t> </w:t>
      </w:r>
      <w:r w:rsidRPr="0082383A">
        <w:t>pracovních skupinách Elektromobilita, Plyn a</w:t>
      </w:r>
      <w:r w:rsidR="00546698">
        <w:t> </w:t>
      </w:r>
      <w:r w:rsidRPr="0082383A">
        <w:t>Vodík. Těchto pracovních skupin se účastní odborníci v</w:t>
      </w:r>
      <w:r w:rsidR="00546698">
        <w:t> </w:t>
      </w:r>
      <w:r w:rsidRPr="0082383A">
        <w:t>uvedených oblastech.</w:t>
      </w:r>
    </w:p>
    <w:p w14:paraId="2D45F026" w14:textId="77777777" w:rsidR="001B4719" w:rsidRPr="00045F42" w:rsidRDefault="001B4719" w:rsidP="001B4719">
      <w:pPr>
        <w:pStyle w:val="Nadpis4"/>
        <w:numPr>
          <w:ilvl w:val="3"/>
          <w:numId w:val="9"/>
        </w:numPr>
        <w:jc w:val="both"/>
      </w:pPr>
      <w:bookmarkStart w:id="112" w:name="_Toc19792291"/>
      <w:bookmarkStart w:id="113" w:name="_Toc25136773"/>
      <w:bookmarkStart w:id="114" w:name="_Toc34295899"/>
      <w:r w:rsidRPr="00045F42">
        <w:t>Prioritní výzkumně-vývojové oblasti – metan a</w:t>
      </w:r>
      <w:r w:rsidR="00546698">
        <w:t> </w:t>
      </w:r>
      <w:r w:rsidRPr="00045F42">
        <w:t>vyšší uhlovodíky z</w:t>
      </w:r>
      <w:r w:rsidR="00546698">
        <w:t> </w:t>
      </w:r>
      <w:r w:rsidRPr="00045F42">
        <w:t>obnovitelných zdrojů</w:t>
      </w:r>
      <w:bookmarkEnd w:id="112"/>
      <w:bookmarkEnd w:id="113"/>
      <w:bookmarkEnd w:id="114"/>
    </w:p>
    <w:p w14:paraId="6F1A9A99" w14:textId="77777777" w:rsidR="001B4719" w:rsidRDefault="001B4719" w:rsidP="001B4719">
      <w:pPr>
        <w:pStyle w:val="Odrka1"/>
        <w:jc w:val="both"/>
      </w:pPr>
      <w:r>
        <w:t>Technologie čištění a</w:t>
      </w:r>
      <w:r w:rsidR="00546698">
        <w:t> </w:t>
      </w:r>
      <w:r>
        <w:t>sušení bioplynu na kvalitu zemního plynu pro účely využití v</w:t>
      </w:r>
      <w:r w:rsidR="00546698">
        <w:t> </w:t>
      </w:r>
      <w:r>
        <w:t>dopravě</w:t>
      </w:r>
    </w:p>
    <w:p w14:paraId="6AA9D3A5" w14:textId="77777777" w:rsidR="001B4719" w:rsidRDefault="001B4719" w:rsidP="001B4719">
      <w:pPr>
        <w:pStyle w:val="Odrka1"/>
        <w:jc w:val="both"/>
      </w:pPr>
      <w:r>
        <w:t>Technologie metanizace produktů z</w:t>
      </w:r>
      <w:r w:rsidR="00546698">
        <w:t> </w:t>
      </w:r>
      <w:r>
        <w:t>biomasy nebo z</w:t>
      </w:r>
      <w:r w:rsidR="00546698">
        <w:t> </w:t>
      </w:r>
      <w:r>
        <w:t>obnovitelných zdrojů elektrické energie pro dopravní účely</w:t>
      </w:r>
    </w:p>
    <w:p w14:paraId="102948B8" w14:textId="77777777" w:rsidR="001B4719" w:rsidRDefault="001B4719" w:rsidP="001B4719">
      <w:pPr>
        <w:pStyle w:val="Odrka1"/>
        <w:jc w:val="both"/>
      </w:pPr>
      <w:r>
        <w:t>CNG vs. LNG v</w:t>
      </w:r>
      <w:r w:rsidR="00546698">
        <w:t> </w:t>
      </w:r>
      <w:r>
        <w:t>dopravě – rozvoj konceptů infrastruktury i</w:t>
      </w:r>
      <w:r w:rsidR="00546698">
        <w:t> </w:t>
      </w:r>
      <w:r>
        <w:t>vozidel z</w:t>
      </w:r>
      <w:r w:rsidR="00546698">
        <w:t> </w:t>
      </w:r>
      <w:r>
        <w:t>hlediska vozidlového úložiště paliva i</w:t>
      </w:r>
      <w:r w:rsidR="00546698">
        <w:t> </w:t>
      </w:r>
      <w:r>
        <w:t>pohonné jednotky</w:t>
      </w:r>
    </w:p>
    <w:p w14:paraId="1AD78447" w14:textId="77777777" w:rsidR="001B4719" w:rsidRDefault="001B4719" w:rsidP="001B4719">
      <w:pPr>
        <w:pStyle w:val="Odrka1"/>
        <w:jc w:val="both"/>
      </w:pPr>
      <w:r>
        <w:t>Výroba vyšších uhlovodíků z</w:t>
      </w:r>
      <w:r w:rsidR="00546698">
        <w:t> </w:t>
      </w:r>
      <w:r>
        <w:t>metanu z</w:t>
      </w:r>
      <w:r w:rsidR="00546698">
        <w:t> </w:t>
      </w:r>
      <w:r>
        <w:t>obnovitelných zdrojů</w:t>
      </w:r>
    </w:p>
    <w:p w14:paraId="58FA4B91" w14:textId="77777777" w:rsidR="001B4719" w:rsidRDefault="001B4719" w:rsidP="001B4719">
      <w:pPr>
        <w:pStyle w:val="Odrka1"/>
        <w:jc w:val="both"/>
      </w:pPr>
      <w:r>
        <w:t>Zvyšování účinnosti pohonných jednotek na CNG</w:t>
      </w:r>
    </w:p>
    <w:p w14:paraId="1531E739" w14:textId="77777777" w:rsidR="001B4719" w:rsidRDefault="001B4719" w:rsidP="001B4719">
      <w:pPr>
        <w:pStyle w:val="Nadpis4"/>
        <w:numPr>
          <w:ilvl w:val="3"/>
          <w:numId w:val="9"/>
        </w:numPr>
        <w:jc w:val="both"/>
      </w:pPr>
      <w:bookmarkStart w:id="115" w:name="_Toc19792292"/>
      <w:bookmarkStart w:id="116" w:name="_Toc25136774"/>
      <w:bookmarkStart w:id="117" w:name="_Toc34295900"/>
      <w:r>
        <w:lastRenderedPageBreak/>
        <w:t>B</w:t>
      </w:r>
      <w:r w:rsidRPr="00A2342B">
        <w:t xml:space="preserve">ateriová </w:t>
      </w:r>
      <w:r w:rsidRPr="00045F42">
        <w:t>elektromobilita</w:t>
      </w:r>
      <w:r w:rsidRPr="00A2342B">
        <w:t xml:space="preserve"> v</w:t>
      </w:r>
      <w:r w:rsidR="00546698">
        <w:t> </w:t>
      </w:r>
      <w:r w:rsidRPr="00A2342B">
        <w:t>kombinaci s</w:t>
      </w:r>
      <w:r w:rsidR="00546698">
        <w:t> </w:t>
      </w:r>
      <w:r w:rsidRPr="00A2342B">
        <w:t>dalšími zdroji energie (spalovací motory nebo závislá trakce)</w:t>
      </w:r>
      <w:bookmarkEnd w:id="115"/>
      <w:bookmarkEnd w:id="116"/>
      <w:bookmarkEnd w:id="117"/>
    </w:p>
    <w:p w14:paraId="36803E9D" w14:textId="77777777" w:rsidR="001B4719" w:rsidRDefault="001B4719" w:rsidP="001B4719">
      <w:pPr>
        <w:pStyle w:val="Odrka1"/>
        <w:jc w:val="both"/>
      </w:pPr>
      <w:r>
        <w:t>Nové typy baterií pro elektromobilitu (kapacita, životnost, rychlost dobíjení)</w:t>
      </w:r>
    </w:p>
    <w:p w14:paraId="70EEDCC2" w14:textId="77777777" w:rsidR="001B4719" w:rsidRDefault="001B4719" w:rsidP="001B4719">
      <w:pPr>
        <w:pStyle w:val="Odrka1"/>
        <w:jc w:val="both"/>
      </w:pPr>
      <w:r>
        <w:t>Nové architektury elektrifikovaných vozidel pro vyšší účinnost, dojezd, bezpečnost provozu i</w:t>
      </w:r>
      <w:r w:rsidR="00546698">
        <w:t> </w:t>
      </w:r>
      <w:r>
        <w:t>zapojení do systémů Mobility as a</w:t>
      </w:r>
      <w:r w:rsidR="00546698">
        <w:t> </w:t>
      </w:r>
      <w:r w:rsidRPr="008F2344">
        <w:rPr>
          <w:lang w:val="en-GB"/>
        </w:rPr>
        <w:t xml:space="preserve">Service </w:t>
      </w:r>
      <w:r>
        <w:t xml:space="preserve">(MaaS) nebo </w:t>
      </w:r>
      <w:r w:rsidRPr="008F2344">
        <w:rPr>
          <w:lang w:val="en-GB"/>
        </w:rPr>
        <w:t>Delivery</w:t>
      </w:r>
      <w:r>
        <w:t xml:space="preserve"> as a</w:t>
      </w:r>
      <w:r w:rsidR="00546698">
        <w:t> </w:t>
      </w:r>
      <w:r w:rsidRPr="008F2344">
        <w:rPr>
          <w:lang w:val="en-GB"/>
        </w:rPr>
        <w:t>Service</w:t>
      </w:r>
      <w:r>
        <w:t xml:space="preserve"> (DaaS)</w:t>
      </w:r>
    </w:p>
    <w:p w14:paraId="1697E282" w14:textId="77777777" w:rsidR="001B4719" w:rsidRDefault="001B4719" w:rsidP="001B4719">
      <w:pPr>
        <w:pStyle w:val="Odrka1"/>
        <w:jc w:val="both"/>
      </w:pPr>
      <w:r>
        <w:t>Integrace rychlých a</w:t>
      </w:r>
      <w:r w:rsidR="00546698">
        <w:t> </w:t>
      </w:r>
      <w:r>
        <w:t>ultrarychlých stanic do distribučních a</w:t>
      </w:r>
      <w:r w:rsidR="00546698">
        <w:t> </w:t>
      </w:r>
      <w:r>
        <w:t>informačních sítí</w:t>
      </w:r>
    </w:p>
    <w:p w14:paraId="5BD95B95" w14:textId="77777777" w:rsidR="001B4719" w:rsidRDefault="001B4719" w:rsidP="001B4719">
      <w:pPr>
        <w:pStyle w:val="Odrka1"/>
        <w:jc w:val="both"/>
      </w:pPr>
      <w:r>
        <w:t>Koncepty V2H (</w:t>
      </w:r>
      <w:r w:rsidRPr="008F2344">
        <w:rPr>
          <w:lang w:val="en-GB"/>
        </w:rPr>
        <w:t>vehicle-to-home</w:t>
      </w:r>
      <w:r>
        <w:t>) a</w:t>
      </w:r>
      <w:r w:rsidR="00546698">
        <w:t> </w:t>
      </w:r>
      <w:r>
        <w:t>V2G (</w:t>
      </w:r>
      <w:r w:rsidRPr="008F2344">
        <w:rPr>
          <w:lang w:val="en-GB"/>
        </w:rPr>
        <w:t>vehicle-to-grid</w:t>
      </w:r>
      <w:r>
        <w:t>)</w:t>
      </w:r>
    </w:p>
    <w:p w14:paraId="3C9B5279" w14:textId="77777777" w:rsidR="001B4719" w:rsidRDefault="001B4719" w:rsidP="001B4719">
      <w:pPr>
        <w:pStyle w:val="Odrka1"/>
        <w:jc w:val="both"/>
      </w:pPr>
      <w:r>
        <w:t>Nové systémy prediktivního řízení elektrifikovaných vozidel pro zvýšení energetické účinnosti i</w:t>
      </w:r>
      <w:r w:rsidR="00546698">
        <w:t> </w:t>
      </w:r>
      <w:r>
        <w:t>dojezdu</w:t>
      </w:r>
    </w:p>
    <w:p w14:paraId="2DB7C2A7" w14:textId="77777777" w:rsidR="001B4719" w:rsidRDefault="001B4719" w:rsidP="001B4719">
      <w:pPr>
        <w:pStyle w:val="Odrka1"/>
        <w:jc w:val="both"/>
      </w:pPr>
      <w:r>
        <w:t>Rozvoj bateriové elektromobility a</w:t>
      </w:r>
      <w:r w:rsidR="00546698">
        <w:t> </w:t>
      </w:r>
      <w:r>
        <w:t xml:space="preserve">hybridních řešení pro hromadnou dopravu </w:t>
      </w:r>
    </w:p>
    <w:p w14:paraId="7DB33A36" w14:textId="77777777" w:rsidR="001B4719" w:rsidRDefault="001B4719" w:rsidP="001B4719">
      <w:pPr>
        <w:pStyle w:val="Odrka1"/>
        <w:jc w:val="both"/>
      </w:pPr>
      <w:r>
        <w:t>Projekty synergické s</w:t>
      </w:r>
      <w:r w:rsidR="00546698">
        <w:t> </w:t>
      </w:r>
      <w:r>
        <w:t>rozvojem autonomního řízení vozidel</w:t>
      </w:r>
    </w:p>
    <w:p w14:paraId="5FCD16A3" w14:textId="77777777" w:rsidR="001B4719" w:rsidRDefault="001B4719" w:rsidP="001B4719">
      <w:pPr>
        <w:pStyle w:val="Odrka1"/>
        <w:jc w:val="both"/>
      </w:pPr>
      <w:r>
        <w:rPr>
          <w:rFonts w:ascii="Helv" w:hAnsi="Helv" w:cs="Helv"/>
          <w:color w:val="000000"/>
          <w:szCs w:val="22"/>
        </w:rPr>
        <w:t>V</w:t>
      </w:r>
      <w:r w:rsidRPr="00A71068">
        <w:rPr>
          <w:rFonts w:ascii="Helv" w:hAnsi="Helv" w:cs="Helv"/>
          <w:color w:val="000000"/>
          <w:szCs w:val="22"/>
        </w:rPr>
        <w:t>ývoj bezpečnostních postupů/technických požadavků na zabezpečení lithiových baterií v</w:t>
      </w:r>
      <w:r w:rsidR="00546698">
        <w:rPr>
          <w:rFonts w:ascii="Helv" w:hAnsi="Helv" w:cs="Helv"/>
          <w:color w:val="000000"/>
          <w:szCs w:val="22"/>
        </w:rPr>
        <w:t> </w:t>
      </w:r>
      <w:r w:rsidRPr="00A71068">
        <w:rPr>
          <w:rFonts w:ascii="Helv" w:hAnsi="Helv" w:cs="Helv"/>
          <w:color w:val="000000"/>
          <w:szCs w:val="22"/>
        </w:rPr>
        <w:t>rámci celého životního cyklu, zejména pak na konci jejich životnosti - při skladování, přepravě a</w:t>
      </w:r>
      <w:r w:rsidR="00546698">
        <w:rPr>
          <w:rFonts w:ascii="Helv" w:hAnsi="Helv" w:cs="Helv"/>
          <w:color w:val="000000"/>
          <w:szCs w:val="22"/>
        </w:rPr>
        <w:t> </w:t>
      </w:r>
      <w:r w:rsidRPr="00A71068">
        <w:rPr>
          <w:rFonts w:ascii="Helv" w:hAnsi="Helv" w:cs="Helv"/>
          <w:color w:val="000000"/>
          <w:szCs w:val="22"/>
        </w:rPr>
        <w:t>zpracování</w:t>
      </w:r>
    </w:p>
    <w:p w14:paraId="59EA5024" w14:textId="77777777" w:rsidR="001B4719" w:rsidRPr="00925F50" w:rsidRDefault="001B4719" w:rsidP="001B4719">
      <w:pPr>
        <w:pStyle w:val="Nadpis4"/>
        <w:numPr>
          <w:ilvl w:val="3"/>
          <w:numId w:val="9"/>
        </w:numPr>
        <w:jc w:val="both"/>
      </w:pPr>
      <w:bookmarkStart w:id="118" w:name="_Toc19792293"/>
      <w:bookmarkStart w:id="119" w:name="_Toc25136775"/>
      <w:bookmarkStart w:id="120" w:name="_Toc34295901"/>
      <w:r w:rsidRPr="00045F42">
        <w:t>Mobilita</w:t>
      </w:r>
      <w:r w:rsidRPr="00A2342B">
        <w:t xml:space="preserve"> na bázi vodíku a</w:t>
      </w:r>
      <w:r w:rsidR="00546698">
        <w:t> </w:t>
      </w:r>
      <w:r w:rsidRPr="00A2342B">
        <w:t>elektromobilita s</w:t>
      </w:r>
      <w:r w:rsidR="00546698">
        <w:t> </w:t>
      </w:r>
      <w:r w:rsidRPr="00A2342B">
        <w:t>palivovými články</w:t>
      </w:r>
      <w:bookmarkEnd w:id="118"/>
      <w:bookmarkEnd w:id="119"/>
      <w:bookmarkEnd w:id="120"/>
    </w:p>
    <w:p w14:paraId="0D11689F" w14:textId="77777777" w:rsidR="001B4719" w:rsidRDefault="001B4719" w:rsidP="001B4719">
      <w:pPr>
        <w:pStyle w:val="Odrka1"/>
        <w:jc w:val="both"/>
      </w:pPr>
      <w:r>
        <w:t>Technologie výroby vodíku z</w:t>
      </w:r>
      <w:r w:rsidR="00546698">
        <w:t> </w:t>
      </w:r>
      <w:r>
        <w:t>obnovitelných zdrojů pro dopravní účely</w:t>
      </w:r>
    </w:p>
    <w:p w14:paraId="6FE752AE" w14:textId="75A72CBC" w:rsidR="001B4719" w:rsidRDefault="001B4719" w:rsidP="001B4719">
      <w:pPr>
        <w:pStyle w:val="Odrka1"/>
        <w:jc w:val="both"/>
      </w:pPr>
      <w:r>
        <w:t>Centralizované v</w:t>
      </w:r>
      <w:r w:rsidR="00276F69">
        <w:t>ersu</w:t>
      </w:r>
      <w:r>
        <w:t>s decentrální řešení distribuce vodíku</w:t>
      </w:r>
    </w:p>
    <w:p w14:paraId="185BE2E3" w14:textId="77777777" w:rsidR="001B4719" w:rsidRDefault="001B4719" w:rsidP="001B4719">
      <w:pPr>
        <w:pStyle w:val="Odrka1"/>
        <w:jc w:val="both"/>
      </w:pPr>
      <w:r>
        <w:t>Technologie skladování vodíku</w:t>
      </w:r>
    </w:p>
    <w:p w14:paraId="181BD3BE" w14:textId="77777777" w:rsidR="001B4719" w:rsidRDefault="001B4719" w:rsidP="001B4719">
      <w:pPr>
        <w:pStyle w:val="Odrka1"/>
        <w:jc w:val="both"/>
      </w:pPr>
      <w:r>
        <w:t>Vývoj zdokonalených palivových článků pro vozidla</w:t>
      </w:r>
    </w:p>
    <w:p w14:paraId="7E96D91E" w14:textId="77777777" w:rsidR="001B4719" w:rsidRDefault="001B4719" w:rsidP="001B4719">
      <w:pPr>
        <w:pStyle w:val="Odrka1"/>
        <w:jc w:val="both"/>
      </w:pPr>
      <w:r>
        <w:t>Podpora rozvoje budoucí palivové infrastruktury pomocí spalování vodíku z</w:t>
      </w:r>
      <w:r w:rsidR="00546698">
        <w:t> </w:t>
      </w:r>
      <w:r>
        <w:t>obnovitelných zdrojů v</w:t>
      </w:r>
      <w:r w:rsidR="00546698">
        <w:t> </w:t>
      </w:r>
      <w:r>
        <w:t>zážehových i</w:t>
      </w:r>
      <w:r w:rsidR="00546698">
        <w:t> </w:t>
      </w:r>
      <w:r>
        <w:t>vznětových motorech náhradou části fosilního paliva nebo biopaliva vodíkem z</w:t>
      </w:r>
      <w:r w:rsidR="00546698">
        <w:t> </w:t>
      </w:r>
      <w:r>
        <w:t>obnovitelných zdrojů pro přechodné období</w:t>
      </w:r>
    </w:p>
    <w:p w14:paraId="7C143D78" w14:textId="77777777" w:rsidR="001B4719" w:rsidRDefault="001B4719" w:rsidP="001B4719">
      <w:pPr>
        <w:pStyle w:val="Odrka1"/>
        <w:jc w:val="both"/>
      </w:pPr>
      <w:r>
        <w:t>Optimalizace nevyhnutelné hybridizace vozidel s</w:t>
      </w:r>
      <w:r w:rsidR="00546698">
        <w:t> </w:t>
      </w:r>
      <w:r>
        <w:t>palivovými články</w:t>
      </w:r>
    </w:p>
    <w:p w14:paraId="2F872240" w14:textId="77777777" w:rsidR="001B4719" w:rsidRDefault="001B4719" w:rsidP="001B4719">
      <w:pPr>
        <w:pStyle w:val="Odrka1"/>
        <w:jc w:val="both"/>
      </w:pPr>
      <w:r>
        <w:t>Větší pilotní a</w:t>
      </w:r>
      <w:r w:rsidR="00546698">
        <w:t> </w:t>
      </w:r>
      <w:r>
        <w:t>demonstrační projekty - vodíkové regiony</w:t>
      </w:r>
    </w:p>
    <w:p w14:paraId="6E39BC40" w14:textId="77777777" w:rsidR="001B4719" w:rsidRDefault="001B4719" w:rsidP="001B4719">
      <w:pPr>
        <w:pStyle w:val="Odrka1"/>
        <w:jc w:val="both"/>
      </w:pPr>
      <w:r>
        <w:t>Podpůrný výzkum pro přípravu legislativy a</w:t>
      </w:r>
      <w:r w:rsidR="00546698">
        <w:t> </w:t>
      </w:r>
      <w:r>
        <w:t>technické normalizace (bezpečnost, „zelený vodík“, předpisy pro výstavbu plnících stanic, příprava podkladů pro hasičský záchranný sbor, úprava stavebních předpisů pro parkování, servis a</w:t>
      </w:r>
      <w:r w:rsidR="00546698">
        <w:t> </w:t>
      </w:r>
      <w:r>
        <w:t>STK)</w:t>
      </w:r>
    </w:p>
    <w:p w14:paraId="37F7DCA2" w14:textId="77777777" w:rsidR="001B4719" w:rsidRPr="00925F50" w:rsidRDefault="001B4719" w:rsidP="001B4719">
      <w:pPr>
        <w:pStyle w:val="Nadpis4"/>
        <w:numPr>
          <w:ilvl w:val="3"/>
          <w:numId w:val="9"/>
        </w:numPr>
        <w:jc w:val="both"/>
      </w:pPr>
      <w:bookmarkStart w:id="121" w:name="_Toc19792294"/>
      <w:bookmarkStart w:id="122" w:name="_Toc25136776"/>
      <w:bookmarkStart w:id="123" w:name="_Toc34295902"/>
      <w:r w:rsidRPr="00045F42">
        <w:t>Průřezová</w:t>
      </w:r>
      <w:r>
        <w:t xml:space="preserve"> témata</w:t>
      </w:r>
      <w:bookmarkEnd w:id="121"/>
      <w:bookmarkEnd w:id="122"/>
      <w:bookmarkEnd w:id="123"/>
    </w:p>
    <w:p w14:paraId="3AD81695" w14:textId="77777777" w:rsidR="001B4719" w:rsidRDefault="001B4719" w:rsidP="001B4719">
      <w:pPr>
        <w:pStyle w:val="Odrka1"/>
        <w:jc w:val="both"/>
      </w:pPr>
      <w:r>
        <w:t>Analýzy životního cyklu (</w:t>
      </w:r>
      <w:r w:rsidRPr="008F2344">
        <w:rPr>
          <w:lang w:val="en-GB"/>
        </w:rPr>
        <w:t>Life Cycle Analysis</w:t>
      </w:r>
      <w:r>
        <w:t>) technologických směrů v</w:t>
      </w:r>
      <w:r w:rsidR="00546698">
        <w:t> </w:t>
      </w:r>
      <w:r>
        <w:t>čisté mobilitě</w:t>
      </w:r>
    </w:p>
    <w:p w14:paraId="0EE722E8" w14:textId="77777777" w:rsidR="001B4719" w:rsidRDefault="001B4719" w:rsidP="001B4719">
      <w:pPr>
        <w:pStyle w:val="Odrka1"/>
        <w:jc w:val="both"/>
      </w:pPr>
      <w:r>
        <w:t>Využití konektivity vozidel ke sběru provozních dat a</w:t>
      </w:r>
      <w:r w:rsidR="00546698">
        <w:t> </w:t>
      </w:r>
      <w:r>
        <w:t>návrhům optimálního řízení vozidla po optimalizované trase mezi daným cílem a</w:t>
      </w:r>
      <w:r w:rsidR="00546698">
        <w:t> </w:t>
      </w:r>
      <w:r>
        <w:t>výchozím stanovištěm</w:t>
      </w:r>
    </w:p>
    <w:p w14:paraId="5432CA6A" w14:textId="77777777" w:rsidR="001B4719" w:rsidRDefault="001B4719" w:rsidP="001B4719">
      <w:pPr>
        <w:pStyle w:val="Odrka1"/>
        <w:jc w:val="both"/>
      </w:pPr>
      <w:r>
        <w:t>Vývoj business modelů pro přechod od podpor k</w:t>
      </w:r>
      <w:r w:rsidR="00546698">
        <w:t> </w:t>
      </w:r>
      <w:r>
        <w:t xml:space="preserve">ekonomické životaschopnosti </w:t>
      </w:r>
    </w:p>
    <w:p w14:paraId="3B8C1DD3" w14:textId="77777777" w:rsidR="001B4719" w:rsidRDefault="001B4719" w:rsidP="001B4719">
      <w:pPr>
        <w:pStyle w:val="Odrka1"/>
      </w:pPr>
      <w:r>
        <w:t>H</w:t>
      </w:r>
      <w:r w:rsidRPr="00A2487C">
        <w:t>ledání řešení pro úspornou city logistiku</w:t>
      </w:r>
      <w:r>
        <w:t xml:space="preserve"> s</w:t>
      </w:r>
      <w:r w:rsidR="00546698">
        <w:t> </w:t>
      </w:r>
      <w:r>
        <w:t>propojením s</w:t>
      </w:r>
      <w:r w:rsidR="00546698">
        <w:t> </w:t>
      </w:r>
      <w:r>
        <w:t>vozidly na alternativní paliva</w:t>
      </w:r>
    </w:p>
    <w:p w14:paraId="0960EEEA" w14:textId="77777777" w:rsidR="001B4719" w:rsidRDefault="001B4719" w:rsidP="001B4719">
      <w:pPr>
        <w:pStyle w:val="Odrka1"/>
        <w:jc w:val="both"/>
      </w:pPr>
      <w:r>
        <w:t>Postupy X</w:t>
      </w:r>
      <w:r w:rsidR="00546698">
        <w:t> </w:t>
      </w:r>
      <w:r>
        <w:t>4.0 pro konceptuální návrh, konstrukční optimalizaci, provozní optimalizaci (dobíjení, doplňování zásob paliva, maximalizace účinnosti a</w:t>
      </w:r>
      <w:r w:rsidR="00546698">
        <w:t> </w:t>
      </w:r>
      <w:r>
        <w:t>dojezdu), preventivní i</w:t>
      </w:r>
      <w:r w:rsidR="00546698">
        <w:t> </w:t>
      </w:r>
      <w:r>
        <w:t>následnou údržbu a</w:t>
      </w:r>
      <w:r w:rsidR="00546698">
        <w:t> </w:t>
      </w:r>
      <w:r>
        <w:t>recyklaci vozidel s</w:t>
      </w:r>
      <w:r w:rsidR="00546698">
        <w:t> </w:t>
      </w:r>
      <w:r>
        <w:t>bateriemi nebo palivovými články za účelem snížení TCO a</w:t>
      </w:r>
      <w:r w:rsidR="00546698">
        <w:t> </w:t>
      </w:r>
      <w:r>
        <w:t>maximalizaci uživatelského komfortu</w:t>
      </w:r>
    </w:p>
    <w:p w14:paraId="66BA3084" w14:textId="77777777" w:rsidR="001B4719" w:rsidRDefault="001B4719" w:rsidP="001B4719">
      <w:pPr>
        <w:pStyle w:val="Odrka1"/>
        <w:jc w:val="both"/>
      </w:pPr>
      <w:r>
        <w:t>Projekty synergické s</w:t>
      </w:r>
      <w:r w:rsidR="00546698">
        <w:t> </w:t>
      </w:r>
      <w:r>
        <w:t xml:space="preserve">rozvojem inteligentních sítí (smart </w:t>
      </w:r>
      <w:r w:rsidRPr="00BD293D">
        <w:rPr>
          <w:lang w:val="de-DE"/>
        </w:rPr>
        <w:t>grids</w:t>
      </w:r>
      <w:r>
        <w:t>)</w:t>
      </w:r>
    </w:p>
    <w:p w14:paraId="0FE429EC" w14:textId="77777777" w:rsidR="001B4719" w:rsidRDefault="001B4719" w:rsidP="001B4719">
      <w:pPr>
        <w:pStyle w:val="Odrka1"/>
        <w:jc w:val="both"/>
      </w:pPr>
      <w:r>
        <w:t>Řízená obnova částí vozového parku (počínaje státními institucemi a</w:t>
      </w:r>
      <w:r w:rsidR="00546698">
        <w:t> </w:t>
      </w:r>
      <w:r>
        <w:t>komunitními organizacemi MHD)</w:t>
      </w:r>
    </w:p>
    <w:p w14:paraId="3F2900C6" w14:textId="77777777" w:rsidR="001B4719" w:rsidRDefault="001B4719" w:rsidP="001B4719">
      <w:pPr>
        <w:pStyle w:val="Odrka1"/>
        <w:jc w:val="both"/>
      </w:pPr>
      <w:r>
        <w:lastRenderedPageBreak/>
        <w:t>Terciární bezpečnost alternativních pohonů (výzkum, vývoj techniky pro zásahy, příprava bojových plánů HZS, výcvik hasičů, vývoj a</w:t>
      </w:r>
      <w:r w:rsidR="00546698">
        <w:t> </w:t>
      </w:r>
      <w:r>
        <w:t>výstavba karanténních prostor pro aku vozidla po nehodě atp.)</w:t>
      </w:r>
    </w:p>
    <w:p w14:paraId="230F950E" w14:textId="77777777" w:rsidR="001B4719" w:rsidRDefault="001B4719" w:rsidP="001B4719">
      <w:pPr>
        <w:pStyle w:val="Odrka1"/>
        <w:jc w:val="both"/>
      </w:pPr>
      <w:r>
        <w:t>Zvážení dalších podpůrných nástrojů pro přechod měst a</w:t>
      </w:r>
      <w:r w:rsidR="00546698">
        <w:t> </w:t>
      </w:r>
      <w:r>
        <w:t>obcí na nízko- a</w:t>
      </w:r>
      <w:r w:rsidR="00546698">
        <w:t> </w:t>
      </w:r>
      <w:r>
        <w:t>bezemisní MHD – např. metodika preference veřejné dopravy, kritéria v</w:t>
      </w:r>
      <w:r w:rsidR="00546698">
        <w:t> </w:t>
      </w:r>
      <w:r>
        <w:t>dotačních programech, Plány udržitelné městské mobility, hodnocení přístupu měst a</w:t>
      </w:r>
      <w:r w:rsidR="00546698">
        <w:t> </w:t>
      </w:r>
      <w:r>
        <w:t>obcí k</w:t>
      </w:r>
      <w:r w:rsidR="00546698">
        <w:t> </w:t>
      </w:r>
      <w:r>
        <w:t xml:space="preserve">řízení </w:t>
      </w:r>
      <w:r w:rsidRPr="00BD293D">
        <w:t>modal</w:t>
      </w:r>
      <w:r>
        <w:t>-split.</w:t>
      </w:r>
    </w:p>
    <w:p w14:paraId="27D60DDC" w14:textId="77777777" w:rsidR="00272A35" w:rsidRDefault="00272A35" w:rsidP="00160FAE">
      <w:pPr>
        <w:pStyle w:val="Odrka1"/>
      </w:pPr>
      <w:r>
        <w:t xml:space="preserve">V rámci </w:t>
      </w:r>
      <w:r w:rsidRPr="00272A35">
        <w:t>A</w:t>
      </w:r>
      <w:r>
        <w:t xml:space="preserve">ktualizace Politiky druhotných surovin České republiky pro období </w:t>
      </w:r>
      <w:r w:rsidRPr="00272A35">
        <w:t xml:space="preserve">2019 </w:t>
      </w:r>
      <w:r>
        <w:t>–</w:t>
      </w:r>
      <w:r w:rsidRPr="00272A35">
        <w:t xml:space="preserve"> 2022</w:t>
      </w:r>
      <w:r>
        <w:t xml:space="preserve"> je navrženo</w:t>
      </w:r>
      <w:r w:rsidR="00160FAE">
        <w:t>, aby s</w:t>
      </w:r>
      <w:r w:rsidRPr="00272A35">
        <w:t xml:space="preserve"> ohledem na ekonomickou náročnost</w:t>
      </w:r>
      <w:r w:rsidR="00160FAE">
        <w:t xml:space="preserve">, byl </w:t>
      </w:r>
      <w:r w:rsidRPr="00272A35">
        <w:t>vytvoř</w:t>
      </w:r>
      <w:r w:rsidR="00160FAE">
        <w:t>en</w:t>
      </w:r>
      <w:r w:rsidRPr="00272A35">
        <w:t xml:space="preserve"> legislativní nástroj pro financování zpětného odběru a zpracování lithiových průmyslových baterií a akumulátorů v budoucích obdobích.</w:t>
      </w:r>
      <w:r w:rsidR="00160FAE">
        <w:t xml:space="preserve"> Autobaterie jsou zařazeny mezi </w:t>
      </w:r>
      <w:r w:rsidR="00160FAE" w:rsidRPr="00160FAE">
        <w:t>významné druhotné zdroje</w:t>
      </w:r>
      <w:r w:rsidR="00160FAE">
        <w:t>. Jako jedno z opatření je navrženo „</w:t>
      </w:r>
      <w:r w:rsidR="00160FAE" w:rsidRPr="00160FAE">
        <w:t>Analyzovat možnosti podpory vzniku a rozvoje zpracovatelských kapacit lithiových baterií a akumulátorů v ČR s cílem získání cenných druhotných surovin</w:t>
      </w:r>
      <w:r w:rsidR="00160FAE">
        <w:t>“</w:t>
      </w:r>
      <w:r w:rsidR="00160FAE" w:rsidRPr="00160FAE">
        <w:t>.</w:t>
      </w:r>
    </w:p>
    <w:p w14:paraId="59DE673E" w14:textId="77777777" w:rsidR="001B4719" w:rsidRDefault="001B4719" w:rsidP="001B4719">
      <w:pPr>
        <w:pStyle w:val="Nadpis3"/>
        <w:numPr>
          <w:ilvl w:val="2"/>
          <w:numId w:val="9"/>
        </w:numPr>
        <w:tabs>
          <w:tab w:val="left" w:pos="851"/>
          <w:tab w:val="num" w:pos="2411"/>
        </w:tabs>
        <w:ind w:left="284" w:firstLine="0"/>
        <w:jc w:val="both"/>
      </w:pPr>
      <w:bookmarkStart w:id="124" w:name="_Toc19792295"/>
      <w:bookmarkStart w:id="125" w:name="_Toc25084462"/>
      <w:bookmarkStart w:id="126" w:name="_Toc25136777"/>
      <w:bookmarkStart w:id="127" w:name="_Toc34295903"/>
      <w:r>
        <w:t>Vzdělávání</w:t>
      </w:r>
      <w:bookmarkEnd w:id="124"/>
      <w:bookmarkEnd w:id="125"/>
      <w:bookmarkEnd w:id="126"/>
      <w:bookmarkEnd w:id="127"/>
    </w:p>
    <w:p w14:paraId="442BA9D0" w14:textId="77777777" w:rsidR="001B4719" w:rsidRDefault="001B4719" w:rsidP="001B4719">
      <w:pPr>
        <w:jc w:val="both"/>
      </w:pPr>
      <w:r>
        <w:t>V souvislosti s</w:t>
      </w:r>
      <w:r w:rsidR="00546698">
        <w:t> </w:t>
      </w:r>
      <w:r>
        <w:t>rozvojem čisté mobility a</w:t>
      </w:r>
      <w:r w:rsidR="00546698">
        <w:t> </w:t>
      </w:r>
      <w:r>
        <w:t>vývojem v</w:t>
      </w:r>
      <w:r w:rsidR="00546698">
        <w:t> </w:t>
      </w:r>
      <w:r>
        <w:t>automobilovém průmyslu byly v</w:t>
      </w:r>
      <w:r w:rsidR="00546698">
        <w:t> </w:t>
      </w:r>
      <w:r>
        <w:t>předchozím období identifikovány potřeby zejména s</w:t>
      </w:r>
      <w:r w:rsidR="00546698">
        <w:t> </w:t>
      </w:r>
      <w:r>
        <w:t>ohledem na požadavky na elektrotechnickou profesní kvalifikaci a</w:t>
      </w:r>
      <w:r w:rsidR="00546698">
        <w:t> </w:t>
      </w:r>
      <w:r>
        <w:t>zároveň úpravy (revizi) rámcových vzdělávacích programů.</w:t>
      </w:r>
    </w:p>
    <w:p w14:paraId="5A1E66CE" w14:textId="77777777" w:rsidR="001B4719" w:rsidRDefault="001B4719" w:rsidP="001B4719">
      <w:pPr>
        <w:jc w:val="both"/>
      </w:pPr>
      <w:r>
        <w:t>V současné době jsou v</w:t>
      </w:r>
      <w:r w:rsidR="00546698">
        <w:t> </w:t>
      </w:r>
      <w:r>
        <w:t xml:space="preserve">legislativním procesu </w:t>
      </w:r>
      <w:r w:rsidRPr="00255A20">
        <w:rPr>
          <w:b/>
        </w:rPr>
        <w:t>návrhy směřující k</w:t>
      </w:r>
      <w:r w:rsidR="00546698">
        <w:rPr>
          <w:b/>
        </w:rPr>
        <w:t> </w:t>
      </w:r>
      <w:r w:rsidRPr="00255A20">
        <w:rPr>
          <w:b/>
        </w:rPr>
        <w:t>vydání nové vyhlášky č. 50/1978 Sb.</w:t>
      </w:r>
      <w:r>
        <w:t xml:space="preserve"> (nařízení vlády o</w:t>
      </w:r>
      <w:r w:rsidR="00546698">
        <w:t> </w:t>
      </w:r>
      <w:r>
        <w:t>odborné způsobilosti v</w:t>
      </w:r>
      <w:r w:rsidR="00546698">
        <w:t> </w:t>
      </w:r>
      <w:r>
        <w:t>elektrotechnice, které již s</w:t>
      </w:r>
      <w:r w:rsidR="00546698">
        <w:t> </w:t>
      </w:r>
      <w:r>
        <w:t>pojmem profesní kvalifikace Mechanik silničních vozidel s</w:t>
      </w:r>
      <w:r w:rsidR="00546698">
        <w:t> </w:t>
      </w:r>
      <w:r>
        <w:t>elektrickým a</w:t>
      </w:r>
      <w:r w:rsidR="00546698">
        <w:t> </w:t>
      </w:r>
      <w:r>
        <w:t>hybridním pohonem získané podle zvláštního předpisu, tedy bez nutnosti absolvovat kompletní elektrotechnické vzdělání, počítá).</w:t>
      </w:r>
    </w:p>
    <w:p w14:paraId="5B5AC94C" w14:textId="77777777" w:rsidR="001B4719" w:rsidRDefault="001B4719" w:rsidP="001B4719">
      <w:pPr>
        <w:jc w:val="both"/>
      </w:pPr>
      <w:r>
        <w:t xml:space="preserve">Zároveň probíhá </w:t>
      </w:r>
      <w:r w:rsidRPr="00255A20">
        <w:rPr>
          <w:b/>
        </w:rPr>
        <w:t>proces revize rámcových vzdělávacích programů (RVP)</w:t>
      </w:r>
      <w:r>
        <w:t>, v</w:t>
      </w:r>
      <w:r w:rsidR="00546698">
        <w:t> </w:t>
      </w:r>
      <w:r>
        <w:t>rámci kterého proběhla korektura a</w:t>
      </w:r>
      <w:r w:rsidR="00546698">
        <w:t> </w:t>
      </w:r>
      <w:r>
        <w:t>doplnění revidované odborné složky RVP v</w:t>
      </w:r>
      <w:r w:rsidR="00546698">
        <w:t> </w:t>
      </w:r>
      <w:r>
        <w:t>oborech vzdělání kategorie H: Autoelektrikář, Mechanik opravář motorových vozidel a</w:t>
      </w:r>
      <w:r w:rsidR="00546698">
        <w:t> </w:t>
      </w:r>
      <w:r>
        <w:t>Elektromechanik pro zařízení a</w:t>
      </w:r>
      <w:r w:rsidR="00546698">
        <w:t> </w:t>
      </w:r>
      <w:r>
        <w:t>přístroje a</w:t>
      </w:r>
      <w:r w:rsidR="00546698">
        <w:t> </w:t>
      </w:r>
      <w:r>
        <w:t>oboru vzdělání kategorie M</w:t>
      </w:r>
      <w:r w:rsidR="00546698">
        <w:t> </w:t>
      </w:r>
      <w:r>
        <w:t>a L: Autotronik, Dopravní prostředky, Mechanik elektrotechnik a</w:t>
      </w:r>
      <w:r w:rsidR="00546698">
        <w:t> </w:t>
      </w:r>
      <w:r>
        <w:t>Elektrotechnika.</w:t>
      </w:r>
    </w:p>
    <w:p w14:paraId="44E947FE" w14:textId="77777777" w:rsidR="001B4719" w:rsidRDefault="001B4719" w:rsidP="001B4719">
      <w:pPr>
        <w:jc w:val="both"/>
      </w:pPr>
      <w:r>
        <w:t xml:space="preserve">Schválení </w:t>
      </w:r>
      <w:r w:rsidRPr="00576FD3">
        <w:t xml:space="preserve">všech revidovaných rámcových vzdělávacích programů </w:t>
      </w:r>
      <w:r>
        <w:t>je v</w:t>
      </w:r>
      <w:r w:rsidR="00546698">
        <w:t> </w:t>
      </w:r>
      <w:r>
        <w:t xml:space="preserve">gesci </w:t>
      </w:r>
      <w:r w:rsidRPr="00576FD3">
        <w:t xml:space="preserve">MŠMT </w:t>
      </w:r>
      <w:r>
        <w:t>a</w:t>
      </w:r>
      <w:r w:rsidR="00546698">
        <w:t> </w:t>
      </w:r>
      <w:r>
        <w:t>mělo by proběhnout v</w:t>
      </w:r>
      <w:r w:rsidR="00546698">
        <w:t> </w:t>
      </w:r>
      <w:r>
        <w:t xml:space="preserve">průběhu roku 2019. </w:t>
      </w:r>
      <w:r w:rsidRPr="00576FD3">
        <w:t>Po schválení RVP začne platit pro školy dvouletá lhůta, během které by měl</w:t>
      </w:r>
      <w:r>
        <w:t>y</w:t>
      </w:r>
      <w:r w:rsidRPr="00576FD3">
        <w:t xml:space="preserve"> upravit své školní vzdělávací programy.</w:t>
      </w:r>
    </w:p>
    <w:p w14:paraId="447BBDE1" w14:textId="77777777" w:rsidR="001B4719" w:rsidRDefault="001B4719" w:rsidP="001B4719">
      <w:pPr>
        <w:pStyle w:val="Nadpis2"/>
        <w:numPr>
          <w:ilvl w:val="1"/>
          <w:numId w:val="9"/>
        </w:numPr>
        <w:jc w:val="both"/>
      </w:pPr>
      <w:bookmarkStart w:id="128" w:name="_Toc19792296"/>
      <w:bookmarkStart w:id="129" w:name="_Toc25067650"/>
      <w:bookmarkStart w:id="130" w:name="_Toc25084463"/>
      <w:bookmarkStart w:id="131" w:name="_Toc25136778"/>
      <w:bookmarkStart w:id="132" w:name="_Toc34295904"/>
      <w:r w:rsidRPr="00DA682F">
        <w:t>Financování čisté mobility (vyhodnocení běžících programů)</w:t>
      </w:r>
      <w:bookmarkEnd w:id="128"/>
      <w:bookmarkEnd w:id="129"/>
      <w:bookmarkEnd w:id="130"/>
      <w:bookmarkEnd w:id="131"/>
      <w:bookmarkEnd w:id="132"/>
    </w:p>
    <w:p w14:paraId="5A303C13" w14:textId="77777777" w:rsidR="001B4719" w:rsidRDefault="001B4719" w:rsidP="001B4719">
      <w:pPr>
        <w:pStyle w:val="Nadpis3"/>
        <w:numPr>
          <w:ilvl w:val="2"/>
          <w:numId w:val="9"/>
        </w:numPr>
        <w:tabs>
          <w:tab w:val="left" w:pos="851"/>
          <w:tab w:val="num" w:pos="2411"/>
        </w:tabs>
        <w:ind w:left="284" w:firstLine="0"/>
        <w:jc w:val="both"/>
      </w:pPr>
      <w:bookmarkStart w:id="133" w:name="_Toc19792297"/>
      <w:bookmarkStart w:id="134" w:name="_Toc25084464"/>
      <w:bookmarkStart w:id="135" w:name="_Toc25136779"/>
      <w:bookmarkStart w:id="136" w:name="_Toc34295905"/>
      <w:r>
        <w:t>Přehled současných dotačních programů na podporu čisté mobility</w:t>
      </w:r>
      <w:bookmarkEnd w:id="133"/>
      <w:bookmarkEnd w:id="134"/>
      <w:bookmarkEnd w:id="135"/>
      <w:bookmarkEnd w:id="136"/>
      <w:r>
        <w:t xml:space="preserve"> </w:t>
      </w:r>
    </w:p>
    <w:p w14:paraId="077D8EDB" w14:textId="77777777" w:rsidR="001B4719" w:rsidRPr="00B240E1" w:rsidRDefault="001B4719" w:rsidP="001B4719">
      <w:pPr>
        <w:jc w:val="both"/>
      </w:pPr>
      <w:r>
        <w:rPr>
          <w:noProof/>
        </w:rPr>
        <w:drawing>
          <wp:inline distT="0" distB="0" distL="0" distR="0" wp14:anchorId="5BF72875" wp14:editId="33D7EEC4">
            <wp:extent cx="5760000" cy="2692800"/>
            <wp:effectExtent l="19050" t="19050" r="31750" b="31750"/>
            <wp:docPr id="7" name="Diagram 7"/>
            <wp:cNvGraphicFramePr>
              <a:graphicFrameLocks xmlns:a="http://schemas.openxmlformats.org/drawingml/2006/main" noChangeAspect="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76DE14E3" w14:textId="441D6A77" w:rsidR="001B4719" w:rsidRDefault="001B4719" w:rsidP="001B4719">
      <w:pPr>
        <w:pStyle w:val="Nadpis3"/>
        <w:numPr>
          <w:ilvl w:val="2"/>
          <w:numId w:val="9"/>
        </w:numPr>
        <w:tabs>
          <w:tab w:val="left" w:pos="851"/>
          <w:tab w:val="num" w:pos="2411"/>
        </w:tabs>
        <w:ind w:left="284" w:firstLine="0"/>
        <w:jc w:val="both"/>
      </w:pPr>
      <w:bookmarkStart w:id="137" w:name="_Toc19792298"/>
      <w:bookmarkStart w:id="138" w:name="_Toc25084465"/>
      <w:bookmarkStart w:id="139" w:name="_Toc25136780"/>
      <w:bookmarkStart w:id="140" w:name="_Ref25138304"/>
      <w:bookmarkStart w:id="141" w:name="_Toc34295906"/>
      <w:r>
        <w:lastRenderedPageBreak/>
        <w:t>Očekávaná p</w:t>
      </w:r>
      <w:r w:rsidRPr="00177BCE">
        <w:t xml:space="preserve">odpora </w:t>
      </w:r>
      <w:r>
        <w:t>v</w:t>
      </w:r>
      <w:r w:rsidR="00546698">
        <w:t> </w:t>
      </w:r>
      <w:r w:rsidRPr="00177BCE">
        <w:t>programové</w:t>
      </w:r>
      <w:r>
        <w:t xml:space="preserve">m </w:t>
      </w:r>
      <w:r w:rsidRPr="00177BCE">
        <w:t>období 20</w:t>
      </w:r>
      <w:r w:rsidR="009D5EDE">
        <w:t>21</w:t>
      </w:r>
      <w:r w:rsidRPr="00177BCE">
        <w:t>-202</w:t>
      </w:r>
      <w:r w:rsidR="009D5EDE">
        <w:t>7</w:t>
      </w:r>
      <w:bookmarkEnd w:id="137"/>
      <w:bookmarkEnd w:id="138"/>
      <w:bookmarkEnd w:id="139"/>
      <w:bookmarkEnd w:id="140"/>
      <w:bookmarkEnd w:id="141"/>
    </w:p>
    <w:p w14:paraId="40D4448C" w14:textId="125BEBA5" w:rsidR="001B4719" w:rsidRDefault="001B4719" w:rsidP="001B4719">
      <w:pPr>
        <w:jc w:val="both"/>
        <w:rPr>
          <w:rFonts w:cs="Arial"/>
          <w:szCs w:val="22"/>
        </w:rPr>
      </w:pPr>
      <w:r w:rsidRPr="00673774">
        <w:rPr>
          <w:rFonts w:cs="Arial"/>
          <w:szCs w:val="22"/>
        </w:rPr>
        <w:t>Za pozitivní lze považovat skutečnost, že tak jako v</w:t>
      </w:r>
      <w:r w:rsidR="00546698">
        <w:rPr>
          <w:rFonts w:cs="Arial"/>
          <w:szCs w:val="22"/>
        </w:rPr>
        <w:t> </w:t>
      </w:r>
      <w:r w:rsidRPr="00673774">
        <w:rPr>
          <w:rFonts w:cs="Arial"/>
          <w:szCs w:val="22"/>
        </w:rPr>
        <w:t>dosavadním období bude i</w:t>
      </w:r>
      <w:r w:rsidR="00546698">
        <w:rPr>
          <w:rFonts w:cs="Arial"/>
          <w:szCs w:val="22"/>
        </w:rPr>
        <w:t> </w:t>
      </w:r>
      <w:r w:rsidRPr="00673774">
        <w:rPr>
          <w:rFonts w:cs="Arial"/>
          <w:szCs w:val="22"/>
        </w:rPr>
        <w:t>pro období 2021-2027 moci ČR na rozvoj čisté mobility počítat s</w:t>
      </w:r>
      <w:r w:rsidR="00546698">
        <w:rPr>
          <w:rFonts w:cs="Arial"/>
          <w:szCs w:val="22"/>
        </w:rPr>
        <w:t> </w:t>
      </w:r>
      <w:r w:rsidRPr="00673774">
        <w:rPr>
          <w:rFonts w:cs="Arial"/>
          <w:szCs w:val="22"/>
        </w:rPr>
        <w:t>určitou podporou z</w:t>
      </w:r>
      <w:r w:rsidR="00546698">
        <w:rPr>
          <w:rFonts w:cs="Arial"/>
          <w:szCs w:val="22"/>
        </w:rPr>
        <w:t> </w:t>
      </w:r>
      <w:r w:rsidRPr="00673774">
        <w:rPr>
          <w:rFonts w:cs="Arial"/>
          <w:szCs w:val="22"/>
        </w:rPr>
        <w:t>prostředků EU</w:t>
      </w:r>
      <w:r>
        <w:rPr>
          <w:rFonts w:cs="Arial"/>
          <w:szCs w:val="22"/>
        </w:rPr>
        <w:t>. V</w:t>
      </w:r>
      <w:r w:rsidR="00546698">
        <w:rPr>
          <w:rFonts w:cs="Arial"/>
          <w:szCs w:val="22"/>
        </w:rPr>
        <w:t> </w:t>
      </w:r>
      <w:r>
        <w:rPr>
          <w:rFonts w:cs="Arial"/>
          <w:szCs w:val="22"/>
        </w:rPr>
        <w:t xml:space="preserve">první řadě jde </w:t>
      </w:r>
      <w:r w:rsidRPr="00842D47">
        <w:rPr>
          <w:u w:val="single"/>
        </w:rPr>
        <w:t>o</w:t>
      </w:r>
      <w:r w:rsidR="00546698">
        <w:t> </w:t>
      </w:r>
      <w:r w:rsidR="008C3371">
        <w:rPr>
          <w:u w:val="single"/>
        </w:rPr>
        <w:t>fondy EU</w:t>
      </w:r>
      <w:r>
        <w:rPr>
          <w:rFonts w:cs="Arial"/>
          <w:szCs w:val="22"/>
        </w:rPr>
        <w:t>, z</w:t>
      </w:r>
      <w:r w:rsidR="00546698">
        <w:rPr>
          <w:rFonts w:cs="Arial"/>
          <w:szCs w:val="22"/>
        </w:rPr>
        <w:t> </w:t>
      </w:r>
      <w:r>
        <w:rPr>
          <w:rFonts w:cs="Arial"/>
          <w:szCs w:val="22"/>
        </w:rPr>
        <w:t xml:space="preserve">nichž jsou financovány jednotlivé </w:t>
      </w:r>
      <w:r w:rsidRPr="00F43449">
        <w:rPr>
          <w:rFonts w:cs="Arial"/>
          <w:szCs w:val="22"/>
          <w:u w:val="single"/>
        </w:rPr>
        <w:t xml:space="preserve">operační programy </w:t>
      </w:r>
      <w:r>
        <w:rPr>
          <w:rFonts w:cs="Arial"/>
          <w:szCs w:val="22"/>
        </w:rPr>
        <w:t xml:space="preserve">(OP). </w:t>
      </w:r>
    </w:p>
    <w:p w14:paraId="2A5680E8" w14:textId="77777777" w:rsidR="001B4719" w:rsidRPr="00673774" w:rsidRDefault="001B4719" w:rsidP="001B4719">
      <w:pPr>
        <w:jc w:val="both"/>
        <w:rPr>
          <w:rFonts w:cs="Arial"/>
          <w:szCs w:val="22"/>
        </w:rPr>
      </w:pPr>
      <w:r>
        <w:rPr>
          <w:rFonts w:cs="Arial"/>
          <w:szCs w:val="22"/>
        </w:rPr>
        <w:t>N</w:t>
      </w:r>
      <w:r w:rsidRPr="00673774">
        <w:rPr>
          <w:rFonts w:cs="Arial"/>
          <w:szCs w:val="22"/>
        </w:rPr>
        <w:t xml:space="preserve">íže uvedený přehled </w:t>
      </w:r>
      <w:r>
        <w:rPr>
          <w:rFonts w:cs="Arial"/>
          <w:szCs w:val="22"/>
        </w:rPr>
        <w:t>zacílení jednotlivých OP ve vztahu k</w:t>
      </w:r>
      <w:r w:rsidR="00546698">
        <w:rPr>
          <w:rFonts w:cs="Arial"/>
          <w:szCs w:val="22"/>
        </w:rPr>
        <w:t> </w:t>
      </w:r>
      <w:r>
        <w:rPr>
          <w:rFonts w:cs="Arial"/>
          <w:szCs w:val="22"/>
        </w:rPr>
        <w:t xml:space="preserve">čisté mobilitě </w:t>
      </w:r>
      <w:r w:rsidRPr="00673774">
        <w:rPr>
          <w:rFonts w:cs="Arial"/>
          <w:szCs w:val="22"/>
        </w:rPr>
        <w:t>vychází ze schváleného vládního materiálu „Národní koncepce realizace politiky soudržnosti po roce 2020“, který stanoví základní implementační rámec a</w:t>
      </w:r>
      <w:r w:rsidR="00546698">
        <w:rPr>
          <w:rFonts w:cs="Arial"/>
          <w:szCs w:val="22"/>
        </w:rPr>
        <w:t> </w:t>
      </w:r>
      <w:r w:rsidRPr="00673774">
        <w:rPr>
          <w:rFonts w:cs="Arial"/>
          <w:szCs w:val="22"/>
        </w:rPr>
        <w:t xml:space="preserve">klíčové strategické cíle jednotlivých dotačních zdrojů. </w:t>
      </w:r>
    </w:p>
    <w:p w14:paraId="539C1A26" w14:textId="77777777" w:rsidR="001B4719" w:rsidRDefault="000F23C2" w:rsidP="001B4719">
      <w:pPr>
        <w:pStyle w:val="Odrka1"/>
        <w:jc w:val="both"/>
      </w:pPr>
      <w:r>
        <w:t>OP Technologie a aplikace pro konkurenceschopnost</w:t>
      </w:r>
    </w:p>
    <w:p w14:paraId="26A403CA" w14:textId="77777777" w:rsidR="001B4719" w:rsidRDefault="001B4719" w:rsidP="001B4719">
      <w:pPr>
        <w:spacing w:before="0"/>
        <w:contextualSpacing/>
        <w:jc w:val="both"/>
      </w:pPr>
      <w:r>
        <w:t xml:space="preserve">Program má být </w:t>
      </w:r>
      <w:r w:rsidRPr="00F743CD">
        <w:rPr>
          <w:rFonts w:cs="Arial"/>
          <w:szCs w:val="22"/>
        </w:rPr>
        <w:t>zaměřen na podporu nákupu osobních i</w:t>
      </w:r>
      <w:r w:rsidR="00546698">
        <w:rPr>
          <w:rFonts w:cs="Arial"/>
          <w:szCs w:val="22"/>
        </w:rPr>
        <w:t> </w:t>
      </w:r>
      <w:r w:rsidRPr="00F743CD">
        <w:rPr>
          <w:rFonts w:cs="Arial"/>
          <w:szCs w:val="22"/>
        </w:rPr>
        <w:t>nákladních vozidel na alternativní paliva (</w:t>
      </w:r>
      <w:r w:rsidRPr="00E943EE">
        <w:rPr>
          <w:rFonts w:cs="Arial"/>
          <w:szCs w:val="22"/>
        </w:rPr>
        <w:t>elektřina, vodík, LNG)</w:t>
      </w:r>
      <w:r w:rsidRPr="00F743CD">
        <w:rPr>
          <w:rFonts w:cs="Arial"/>
          <w:szCs w:val="22"/>
        </w:rPr>
        <w:t xml:space="preserve"> pro podnikatele a</w:t>
      </w:r>
      <w:r w:rsidR="00546698">
        <w:rPr>
          <w:rFonts w:cs="Arial"/>
          <w:szCs w:val="22"/>
        </w:rPr>
        <w:t> </w:t>
      </w:r>
      <w:r w:rsidRPr="00F743CD">
        <w:rPr>
          <w:rFonts w:cs="Arial"/>
          <w:szCs w:val="22"/>
        </w:rPr>
        <w:t xml:space="preserve">budování příslušné neveřejné infrastruktury </w:t>
      </w:r>
      <w:r w:rsidRPr="00E943EE">
        <w:rPr>
          <w:rFonts w:cs="Arial"/>
          <w:szCs w:val="22"/>
        </w:rPr>
        <w:t>(včetně bytových či nebytových domů, pokud slouží jako sídlo podnikatelského subjektu)</w:t>
      </w:r>
      <w:r>
        <w:t>. Problematika podpory výstavby dobíjecích stanic v</w:t>
      </w:r>
      <w:r w:rsidR="00546698">
        <w:t> </w:t>
      </w:r>
      <w:r>
        <w:t>bytových a</w:t>
      </w:r>
      <w:r w:rsidR="00546698">
        <w:t> </w:t>
      </w:r>
      <w:r>
        <w:t>nebytových domech bude řešena v</w:t>
      </w:r>
      <w:r w:rsidR="00546698">
        <w:t> </w:t>
      </w:r>
      <w:r>
        <w:t xml:space="preserve">rámci jednotlivých výzev. </w:t>
      </w:r>
    </w:p>
    <w:p w14:paraId="7D322A01" w14:textId="77777777" w:rsidR="001B4719" w:rsidRDefault="001B4719" w:rsidP="001B4719">
      <w:pPr>
        <w:pStyle w:val="Odrka1"/>
        <w:jc w:val="both"/>
      </w:pPr>
      <w:r>
        <w:t xml:space="preserve">OP Doprava </w:t>
      </w:r>
    </w:p>
    <w:p w14:paraId="08826F76" w14:textId="77777777" w:rsidR="001B4719" w:rsidRDefault="001B4719" w:rsidP="001B4719">
      <w:pPr>
        <w:jc w:val="both"/>
      </w:pPr>
      <w:r>
        <w:t>Předpokládá se pokračování dotačního programu na podporu budování veřejné infrastruktury pro alternativní paliva s</w:t>
      </w:r>
      <w:r w:rsidR="00546698">
        <w:t> </w:t>
      </w:r>
      <w:r>
        <w:t>důrazem na dobíjecí stanice a</w:t>
      </w:r>
      <w:r w:rsidR="00546698">
        <w:t> </w:t>
      </w:r>
      <w:r>
        <w:t xml:space="preserve">vodíkové plnicí stanice. Předpokládá se, že by na tuto oblast mohlo být vyčleněno až 4 mld. Kč. </w:t>
      </w:r>
    </w:p>
    <w:p w14:paraId="0EFAC887" w14:textId="77777777" w:rsidR="001B4719" w:rsidRDefault="001B4719" w:rsidP="001B4719">
      <w:pPr>
        <w:pStyle w:val="Odrka1"/>
        <w:jc w:val="both"/>
      </w:pPr>
      <w:r>
        <w:t>Integrovaný regionální operační program</w:t>
      </w:r>
    </w:p>
    <w:p w14:paraId="45EBA188" w14:textId="77777777" w:rsidR="001B4719" w:rsidRDefault="001B4719" w:rsidP="001B4719">
      <w:pPr>
        <w:jc w:val="both"/>
      </w:pPr>
      <w:r>
        <w:t>Program počítá s</w:t>
      </w:r>
      <w:r w:rsidR="00546698">
        <w:t> </w:t>
      </w:r>
      <w:r>
        <w:t>podporou intervencí zaměřených na pořízení nízkoemisních a</w:t>
      </w:r>
      <w:r w:rsidR="00546698">
        <w:t> </w:t>
      </w:r>
      <w:r>
        <w:t>bezemisních vozidel (autobusů/trolejbusů) a</w:t>
      </w:r>
      <w:r w:rsidR="00546698">
        <w:t> </w:t>
      </w:r>
      <w:r>
        <w:t>budováním související infrastruktury dobíjecích a</w:t>
      </w:r>
      <w:r w:rsidR="00546698">
        <w:t> </w:t>
      </w:r>
      <w:r>
        <w:t>plnících stanic pro veřejnou dopravu.</w:t>
      </w:r>
    </w:p>
    <w:p w14:paraId="7BA0CAF9" w14:textId="77777777" w:rsidR="001B4719" w:rsidRPr="003C3F13" w:rsidRDefault="001B4719" w:rsidP="001B4719">
      <w:pPr>
        <w:pStyle w:val="Odrka1"/>
        <w:numPr>
          <w:ilvl w:val="0"/>
          <w:numId w:val="0"/>
        </w:numPr>
        <w:jc w:val="both"/>
      </w:pPr>
      <w:r w:rsidRPr="00BD376B">
        <w:t>Jedním ze zdrojů financování čisté mobility by mohl být modernizační fond, jehož zřízení se připravuje a</w:t>
      </w:r>
      <w:r w:rsidR="00546698">
        <w:t> </w:t>
      </w:r>
      <w:r w:rsidRPr="00BD376B">
        <w:t>zaměření se diskutuje. Vznik vychází z</w:t>
      </w:r>
      <w:r w:rsidR="00546698">
        <w:t> </w:t>
      </w:r>
      <w:r w:rsidRPr="00BD376B">
        <w:t>revize směrnice o</w:t>
      </w:r>
      <w:r w:rsidR="00546698">
        <w:t> </w:t>
      </w:r>
      <w:r w:rsidRPr="00BD376B">
        <w:t>obchodování s</w:t>
      </w:r>
      <w:r w:rsidR="00546698">
        <w:t> </w:t>
      </w:r>
      <w:r w:rsidRPr="00BD376B">
        <w:t>povolenkami na období let 2021 až 2030 na podporu investic navržených oprávněnými členskými státy, včetně financování malých investičních projektů, do modernizace energetických soustav, skladování energie a</w:t>
      </w:r>
      <w:r w:rsidR="00546698">
        <w:t> </w:t>
      </w:r>
      <w:r w:rsidRPr="00BD376B">
        <w:t>zlepšení energetické účinnosti.</w:t>
      </w:r>
      <w:r w:rsidR="008F2344">
        <w:t xml:space="preserve"> </w:t>
      </w:r>
      <w:r w:rsidRPr="00F45D47">
        <w:t xml:space="preserve">Důležitým zdrojem financování </w:t>
      </w:r>
      <w:r>
        <w:t>čisté mobility mohou být i</w:t>
      </w:r>
      <w:r w:rsidR="00546698">
        <w:t> </w:t>
      </w:r>
      <w:r>
        <w:t>tzv. k</w:t>
      </w:r>
      <w:r w:rsidRPr="00177BCE">
        <w:t>omunitární programy přímo řízené EU</w:t>
      </w:r>
      <w:r>
        <w:t xml:space="preserve">. Zde je třeba vypíchnout </w:t>
      </w:r>
      <w:r w:rsidRPr="00F43449">
        <w:rPr>
          <w:b/>
        </w:rPr>
        <w:t>Nástroj pro propojení Evropy (tzv.</w:t>
      </w:r>
      <w:r>
        <w:t xml:space="preserve"> </w:t>
      </w:r>
      <w:r>
        <w:rPr>
          <w:b/>
        </w:rPr>
        <w:t>nástroj</w:t>
      </w:r>
      <w:r w:rsidRPr="00F43449">
        <w:rPr>
          <w:b/>
          <w:u w:val="single"/>
        </w:rPr>
        <w:t xml:space="preserve"> CEF</w:t>
      </w:r>
      <w:r>
        <w:rPr>
          <w:b/>
          <w:u w:val="single"/>
        </w:rPr>
        <w:t>)</w:t>
      </w:r>
      <w:r w:rsidRPr="00F45D47">
        <w:t xml:space="preserve">. </w:t>
      </w:r>
      <w:r>
        <w:t>P</w:t>
      </w:r>
      <w:r w:rsidRPr="00F45D47">
        <w:t>ro ČR coby kohezní stát bude vyčleněné procento z</w:t>
      </w:r>
      <w:r w:rsidR="00546698">
        <w:t> </w:t>
      </w:r>
      <w:r w:rsidRPr="00F45D47">
        <w:t xml:space="preserve">celkové sumy tvořící tzv. kohezní část CEF. Zde má být alokováno </w:t>
      </w:r>
      <w:r w:rsidRPr="00F45D47">
        <w:rPr>
          <w:bCs/>
        </w:rPr>
        <w:t>11</w:t>
      </w:r>
      <w:r w:rsidR="008F2344">
        <w:rPr>
          <w:bCs/>
        </w:rPr>
        <w:t>,</w:t>
      </w:r>
      <w:r w:rsidRPr="00F45D47">
        <w:rPr>
          <w:bCs/>
        </w:rPr>
        <w:t>285</w:t>
      </w:r>
      <w:r>
        <w:rPr>
          <w:bCs/>
        </w:rPr>
        <w:t xml:space="preserve"> </w:t>
      </w:r>
      <w:r w:rsidR="008F2344">
        <w:rPr>
          <w:bCs/>
        </w:rPr>
        <w:t>mil.</w:t>
      </w:r>
      <w:r w:rsidRPr="00F45D47">
        <w:rPr>
          <w:bCs/>
        </w:rPr>
        <w:t xml:space="preserve"> EUR, tedy zhruba tolik jako v</w:t>
      </w:r>
      <w:r w:rsidR="00546698">
        <w:rPr>
          <w:bCs/>
        </w:rPr>
        <w:t> </w:t>
      </w:r>
      <w:r w:rsidRPr="00F45D47">
        <w:rPr>
          <w:bCs/>
        </w:rPr>
        <w:t xml:space="preserve">současném programovém období. </w:t>
      </w:r>
      <w:r>
        <w:rPr>
          <w:bCs/>
        </w:rPr>
        <w:t>Poměrně podstatným rozdílem však je, že nové nařízení CEF II stanoví, že minimálně 15 % z</w:t>
      </w:r>
      <w:r w:rsidR="00546698">
        <w:rPr>
          <w:bCs/>
        </w:rPr>
        <w:t> </w:t>
      </w:r>
      <w:r>
        <w:rPr>
          <w:bCs/>
        </w:rPr>
        <w:t>těchto prostředků musí být použito na akce týkající se tzv. měkké infrastruktury, kam spadá především oblast infrastruktury pro alternativní paliva (kromě třeba rozvoje autonomních vozidel či obecně ITS). Pokud tedy vyjdeme z</w:t>
      </w:r>
      <w:r w:rsidR="00546698">
        <w:rPr>
          <w:bCs/>
        </w:rPr>
        <w:t> </w:t>
      </w:r>
      <w:r>
        <w:rPr>
          <w:bCs/>
        </w:rPr>
        <w:t>předpokladu, že pro ČR bude v</w:t>
      </w:r>
      <w:r w:rsidR="00546698">
        <w:rPr>
          <w:bCs/>
        </w:rPr>
        <w:t> </w:t>
      </w:r>
      <w:r>
        <w:rPr>
          <w:bCs/>
        </w:rPr>
        <w:t>tzv. národní obálce vyčleněno cca 25 mld. Kč, a</w:t>
      </w:r>
      <w:r w:rsidR="00546698">
        <w:rPr>
          <w:bCs/>
        </w:rPr>
        <w:t> </w:t>
      </w:r>
      <w:r>
        <w:rPr>
          <w:bCs/>
        </w:rPr>
        <w:t xml:space="preserve">pak teoreticky </w:t>
      </w:r>
      <w:r w:rsidRPr="00F514F3">
        <w:rPr>
          <w:bCs/>
          <w:u w:val="single"/>
        </w:rPr>
        <w:t>na podporu infrastruktury pro alternativní paliva mělo být v</w:t>
      </w:r>
      <w:r w:rsidR="00546698">
        <w:rPr>
          <w:bCs/>
          <w:u w:val="single"/>
        </w:rPr>
        <w:t> </w:t>
      </w:r>
      <w:r w:rsidRPr="00F514F3">
        <w:rPr>
          <w:bCs/>
          <w:u w:val="single"/>
        </w:rPr>
        <w:t>CEF pro ČR k</w:t>
      </w:r>
      <w:r w:rsidR="00546698">
        <w:rPr>
          <w:bCs/>
          <w:u w:val="single"/>
        </w:rPr>
        <w:t> </w:t>
      </w:r>
      <w:r w:rsidRPr="00F514F3">
        <w:rPr>
          <w:bCs/>
          <w:u w:val="single"/>
        </w:rPr>
        <w:t>dispozici cca 2 mld. Kč.</w:t>
      </w:r>
      <w:r>
        <w:rPr>
          <w:bCs/>
        </w:rPr>
        <w:t xml:space="preserve"> Jen ve velmi omezené míře lze dotace z</w:t>
      </w:r>
      <w:r w:rsidR="00546698">
        <w:rPr>
          <w:bCs/>
        </w:rPr>
        <w:t> </w:t>
      </w:r>
      <w:r>
        <w:rPr>
          <w:bCs/>
        </w:rPr>
        <w:t>tohoto programu využít i</w:t>
      </w:r>
      <w:r w:rsidR="00546698">
        <w:rPr>
          <w:bCs/>
        </w:rPr>
        <w:t> </w:t>
      </w:r>
      <w:r>
        <w:rPr>
          <w:bCs/>
        </w:rPr>
        <w:t>na oblast nákupu vozidel a</w:t>
      </w:r>
      <w:r w:rsidR="00546698">
        <w:rPr>
          <w:bCs/>
        </w:rPr>
        <w:t> </w:t>
      </w:r>
      <w:r>
        <w:rPr>
          <w:bCs/>
        </w:rPr>
        <w:t>to patrně pouze v</w:t>
      </w:r>
      <w:r w:rsidR="00546698">
        <w:rPr>
          <w:bCs/>
        </w:rPr>
        <w:t> </w:t>
      </w:r>
      <w:r>
        <w:rPr>
          <w:bCs/>
        </w:rPr>
        <w:t>rámci tzv. „</w:t>
      </w:r>
      <w:r w:rsidRPr="00BD293D">
        <w:rPr>
          <w:bCs/>
        </w:rPr>
        <w:t>blending</w:t>
      </w:r>
      <w:r>
        <w:rPr>
          <w:bCs/>
        </w:rPr>
        <w:t>“ výzev (kombinace dotace a</w:t>
      </w:r>
      <w:r w:rsidR="00546698">
        <w:rPr>
          <w:bCs/>
        </w:rPr>
        <w:t> </w:t>
      </w:r>
      <w:r>
        <w:rPr>
          <w:bCs/>
        </w:rPr>
        <w:t>finančního nástroje), což není obecně v</w:t>
      </w:r>
      <w:r w:rsidR="00546698">
        <w:rPr>
          <w:bCs/>
        </w:rPr>
        <w:t> </w:t>
      </w:r>
      <w:r>
        <w:rPr>
          <w:bCs/>
        </w:rPr>
        <w:t xml:space="preserve">podmínkách ČR příliš využitelná forma podpory.  </w:t>
      </w:r>
    </w:p>
    <w:p w14:paraId="6297BA3A" w14:textId="77777777" w:rsidR="001B4719" w:rsidRDefault="001B4719" w:rsidP="001B4719">
      <w:pPr>
        <w:jc w:val="both"/>
        <w:rPr>
          <w:rFonts w:cs="Arial"/>
          <w:szCs w:val="22"/>
        </w:rPr>
      </w:pPr>
      <w:r>
        <w:rPr>
          <w:rFonts w:cs="Arial"/>
          <w:szCs w:val="22"/>
        </w:rPr>
        <w:t xml:space="preserve">Oblast </w:t>
      </w:r>
      <w:r w:rsidRPr="00177BCE">
        <w:rPr>
          <w:rFonts w:cs="Arial"/>
          <w:szCs w:val="22"/>
        </w:rPr>
        <w:t>věd</w:t>
      </w:r>
      <w:r>
        <w:rPr>
          <w:rFonts w:cs="Arial"/>
          <w:szCs w:val="22"/>
        </w:rPr>
        <w:t>y</w:t>
      </w:r>
      <w:r w:rsidRPr="00177BCE">
        <w:rPr>
          <w:rFonts w:cs="Arial"/>
          <w:szCs w:val="22"/>
        </w:rPr>
        <w:t xml:space="preserve"> a</w:t>
      </w:r>
      <w:r w:rsidR="00546698">
        <w:rPr>
          <w:rFonts w:cs="Arial"/>
          <w:szCs w:val="22"/>
        </w:rPr>
        <w:t> </w:t>
      </w:r>
      <w:r w:rsidRPr="00177BCE">
        <w:rPr>
          <w:rFonts w:cs="Arial"/>
          <w:szCs w:val="22"/>
        </w:rPr>
        <w:t xml:space="preserve">výzkum pokrývá </w:t>
      </w:r>
      <w:r>
        <w:rPr>
          <w:rFonts w:cs="Arial"/>
          <w:szCs w:val="22"/>
        </w:rPr>
        <w:t xml:space="preserve">komunitární program </w:t>
      </w:r>
      <w:r w:rsidRPr="00255A20">
        <w:rPr>
          <w:rFonts w:cs="Arial"/>
          <w:b/>
          <w:szCs w:val="22"/>
        </w:rPr>
        <w:t>Horizon Europe</w:t>
      </w:r>
      <w:r>
        <w:rPr>
          <w:rFonts w:cs="Arial"/>
          <w:i/>
          <w:szCs w:val="22"/>
        </w:rPr>
        <w:t xml:space="preserve">, </w:t>
      </w:r>
      <w:r w:rsidRPr="00255A20">
        <w:rPr>
          <w:rFonts w:cs="Arial"/>
          <w:szCs w:val="22"/>
        </w:rPr>
        <w:t xml:space="preserve">který stejně jako jeho předchůdce Horizont 2020 bude mít </w:t>
      </w:r>
      <w:r w:rsidRPr="00DF32CE">
        <w:rPr>
          <w:rFonts w:cs="Arial"/>
          <w:szCs w:val="22"/>
        </w:rPr>
        <w:t>velmi široký záběr intervencí.</w:t>
      </w:r>
      <w:r>
        <w:rPr>
          <w:rFonts w:cs="Arial"/>
          <w:szCs w:val="22"/>
        </w:rPr>
        <w:t xml:space="preserve"> </w:t>
      </w:r>
      <w:r w:rsidRPr="00DF32CE">
        <w:rPr>
          <w:rFonts w:cs="Arial"/>
          <w:szCs w:val="22"/>
        </w:rPr>
        <w:t>Ne</w:t>
      </w:r>
      <w:r w:rsidRPr="00177BCE">
        <w:rPr>
          <w:rFonts w:cs="Arial"/>
          <w:szCs w:val="22"/>
        </w:rPr>
        <w:t>jvíce se cíle programu čistá mobilita protínají s</w:t>
      </w:r>
      <w:r w:rsidR="00546698">
        <w:rPr>
          <w:rFonts w:cs="Arial"/>
          <w:szCs w:val="22"/>
        </w:rPr>
        <w:t> </w:t>
      </w:r>
      <w:r w:rsidRPr="00177BCE">
        <w:rPr>
          <w:rFonts w:cs="Arial"/>
          <w:szCs w:val="22"/>
        </w:rPr>
        <w:t>programy „</w:t>
      </w:r>
      <w:r w:rsidRPr="008F2344">
        <w:rPr>
          <w:rFonts w:cs="Arial"/>
          <w:szCs w:val="22"/>
          <w:lang w:val="en-GB"/>
        </w:rPr>
        <w:t>Secure, clean and efficient energy</w:t>
      </w:r>
      <w:r w:rsidRPr="00177BCE">
        <w:rPr>
          <w:rFonts w:cs="Arial"/>
          <w:szCs w:val="22"/>
        </w:rPr>
        <w:t>“ a</w:t>
      </w:r>
      <w:r w:rsidR="00546698">
        <w:rPr>
          <w:rFonts w:cs="Arial"/>
          <w:szCs w:val="22"/>
        </w:rPr>
        <w:t> </w:t>
      </w:r>
      <w:r w:rsidRPr="00177BCE">
        <w:rPr>
          <w:rFonts w:cs="Arial"/>
          <w:szCs w:val="22"/>
        </w:rPr>
        <w:t xml:space="preserve">programem „Smart, green and </w:t>
      </w:r>
      <w:r w:rsidRPr="008F2344">
        <w:rPr>
          <w:rFonts w:cs="Arial"/>
          <w:szCs w:val="22"/>
          <w:lang w:val="en-GB"/>
        </w:rPr>
        <w:t>integrated</w:t>
      </w:r>
      <w:r w:rsidRPr="00177BCE">
        <w:rPr>
          <w:rFonts w:cs="Arial"/>
          <w:szCs w:val="22"/>
        </w:rPr>
        <w:t xml:space="preserve"> transport“. Podporovány jsou zpravidla projekty panevropských konsorcií s</w:t>
      </w:r>
      <w:r w:rsidR="00546698">
        <w:rPr>
          <w:rFonts w:cs="Arial"/>
          <w:szCs w:val="22"/>
        </w:rPr>
        <w:t> </w:t>
      </w:r>
      <w:r w:rsidRPr="00177BCE">
        <w:rPr>
          <w:rFonts w:cs="Arial"/>
          <w:szCs w:val="22"/>
        </w:rPr>
        <w:t>různými typy uchazečů od univerzit po velké podniky.</w:t>
      </w:r>
    </w:p>
    <w:p w14:paraId="71D02200" w14:textId="77777777" w:rsidR="001B4719" w:rsidRPr="004A6C7D" w:rsidRDefault="001B4719" w:rsidP="001B4719">
      <w:pPr>
        <w:jc w:val="both"/>
      </w:pPr>
    </w:p>
    <w:p w14:paraId="58B55F85" w14:textId="77777777" w:rsidR="001B4719" w:rsidRDefault="001B4719" w:rsidP="001B4719">
      <w:pPr>
        <w:jc w:val="both"/>
      </w:pPr>
    </w:p>
    <w:p w14:paraId="411E6588" w14:textId="77777777" w:rsidR="001B4719" w:rsidRDefault="001B4719" w:rsidP="001B4719">
      <w:pPr>
        <w:spacing w:before="0" w:after="0"/>
        <w:jc w:val="both"/>
        <w:rPr>
          <w:rFonts w:cs="Arial"/>
          <w:b/>
          <w:bCs/>
          <w:kern w:val="32"/>
          <w:sz w:val="28"/>
          <w:szCs w:val="32"/>
        </w:rPr>
      </w:pPr>
      <w:r>
        <w:br w:type="page"/>
      </w:r>
    </w:p>
    <w:p w14:paraId="4629E1AE" w14:textId="77777777" w:rsidR="001B4719" w:rsidRDefault="001B4719" w:rsidP="007E54C7">
      <w:pPr>
        <w:pStyle w:val="Nadpis1"/>
      </w:pPr>
      <w:bookmarkStart w:id="142" w:name="_Toc19792299"/>
      <w:bookmarkStart w:id="143" w:name="_Ref20302720"/>
      <w:bookmarkStart w:id="144" w:name="_Toc25067651"/>
      <w:bookmarkStart w:id="145" w:name="_Toc25084466"/>
      <w:bookmarkStart w:id="146" w:name="_Toc25136781"/>
      <w:bookmarkStart w:id="147" w:name="_Toc34295907"/>
      <w:r>
        <w:lastRenderedPageBreak/>
        <w:t>Analytický materiál - elektromobilita v</w:t>
      </w:r>
      <w:r w:rsidR="00546698">
        <w:t> </w:t>
      </w:r>
      <w:r>
        <w:t>rámci NAP CM</w:t>
      </w:r>
      <w:bookmarkEnd w:id="142"/>
      <w:bookmarkEnd w:id="143"/>
      <w:bookmarkEnd w:id="144"/>
      <w:bookmarkEnd w:id="145"/>
      <w:bookmarkEnd w:id="146"/>
      <w:bookmarkEnd w:id="147"/>
    </w:p>
    <w:p w14:paraId="4FC3B0CB" w14:textId="77777777" w:rsidR="001B4719" w:rsidRDefault="001B4719" w:rsidP="001B4719">
      <w:pPr>
        <w:pStyle w:val="Nadpis2"/>
        <w:numPr>
          <w:ilvl w:val="1"/>
          <w:numId w:val="9"/>
        </w:numPr>
        <w:jc w:val="both"/>
      </w:pPr>
      <w:bookmarkStart w:id="148" w:name="_Toc12540113"/>
      <w:bookmarkStart w:id="149" w:name="_Toc19792305"/>
      <w:bookmarkStart w:id="150" w:name="_Toc25067652"/>
      <w:bookmarkStart w:id="151" w:name="_Toc25084467"/>
      <w:bookmarkStart w:id="152" w:name="_Toc25136782"/>
      <w:bookmarkStart w:id="153" w:name="_Toc34295908"/>
      <w:r w:rsidRPr="00165E9E">
        <w:t xml:space="preserve">Vyhodnocení aktuálního stavu </w:t>
      </w:r>
      <w:r>
        <w:t>elektromobility v</w:t>
      </w:r>
      <w:r w:rsidR="00546698">
        <w:t> </w:t>
      </w:r>
      <w:r>
        <w:t xml:space="preserve">ČR </w:t>
      </w:r>
      <w:r w:rsidRPr="00165E9E">
        <w:t>a</w:t>
      </w:r>
      <w:r w:rsidR="00546698">
        <w:t> </w:t>
      </w:r>
      <w:r w:rsidRPr="00165E9E">
        <w:t>očekávaný budoucí vývoj</w:t>
      </w:r>
      <w:bookmarkEnd w:id="148"/>
      <w:bookmarkEnd w:id="149"/>
      <w:bookmarkEnd w:id="150"/>
      <w:bookmarkEnd w:id="151"/>
      <w:bookmarkEnd w:id="152"/>
      <w:bookmarkEnd w:id="153"/>
    </w:p>
    <w:p w14:paraId="21623AC2" w14:textId="77777777" w:rsidR="001B4719" w:rsidRDefault="001B4719" w:rsidP="001B4719">
      <w:pPr>
        <w:pStyle w:val="Nadpis3"/>
        <w:numPr>
          <w:ilvl w:val="2"/>
          <w:numId w:val="9"/>
        </w:numPr>
        <w:tabs>
          <w:tab w:val="left" w:pos="851"/>
          <w:tab w:val="num" w:pos="2411"/>
        </w:tabs>
        <w:ind w:left="284" w:firstLine="0"/>
        <w:jc w:val="both"/>
      </w:pPr>
      <w:bookmarkStart w:id="154" w:name="_Toc12540114"/>
      <w:bookmarkStart w:id="155" w:name="_Toc19792306"/>
      <w:bookmarkStart w:id="156" w:name="_Toc25084468"/>
      <w:bookmarkStart w:id="157" w:name="_Toc25136783"/>
      <w:bookmarkStart w:id="158" w:name="_Toc34295909"/>
      <w:r w:rsidRPr="002E7654">
        <w:t>Definice klíčových pojmů</w:t>
      </w:r>
      <w:bookmarkEnd w:id="154"/>
      <w:bookmarkEnd w:id="155"/>
      <w:bookmarkEnd w:id="156"/>
      <w:bookmarkEnd w:id="157"/>
      <w:bookmarkEnd w:id="158"/>
    </w:p>
    <w:p w14:paraId="5074E43D" w14:textId="77777777" w:rsidR="001B4719" w:rsidRPr="00D41EAB" w:rsidRDefault="001B4719" w:rsidP="001B4719">
      <w:pPr>
        <w:jc w:val="both"/>
        <w:rPr>
          <w:rStyle w:val="Siln"/>
          <w:b/>
          <w:u w:val="single"/>
        </w:rPr>
      </w:pPr>
      <w:bookmarkStart w:id="159" w:name="_Toc12540115"/>
      <w:r w:rsidRPr="00D41EAB">
        <w:rPr>
          <w:rStyle w:val="Siln"/>
          <w:b/>
          <w:u w:val="single"/>
        </w:rPr>
        <w:t>Vozidla</w:t>
      </w:r>
      <w:bookmarkEnd w:id="159"/>
    </w:p>
    <w:p w14:paraId="2F64E81B" w14:textId="77777777" w:rsidR="001B4719" w:rsidRDefault="001B4719" w:rsidP="001B4719">
      <w:pPr>
        <w:jc w:val="both"/>
        <w:rPr>
          <w:rFonts w:eastAsiaTheme="minorEastAsia"/>
          <w:noProof/>
        </w:rPr>
      </w:pPr>
      <w:r w:rsidRPr="00F27AF0">
        <w:rPr>
          <w:rFonts w:eastAsiaTheme="minorEastAsia"/>
          <w:noProof/>
        </w:rPr>
        <w:t>Z pohledu legislativy jsou elektrická vozidla definována Směrnicí 2014/94/EU a</w:t>
      </w:r>
      <w:r w:rsidR="00546698">
        <w:rPr>
          <w:rFonts w:eastAsiaTheme="minorEastAsia"/>
          <w:noProof/>
        </w:rPr>
        <w:t> </w:t>
      </w:r>
      <w:r w:rsidRPr="00F27AF0">
        <w:rPr>
          <w:rFonts w:eastAsiaTheme="minorEastAsia"/>
          <w:noProof/>
        </w:rPr>
        <w:t xml:space="preserve">zákonem </w:t>
      </w:r>
      <w:r>
        <w:rPr>
          <w:rFonts w:eastAsiaTheme="minorEastAsia"/>
          <w:noProof/>
        </w:rPr>
        <w:t>č. </w:t>
      </w:r>
      <w:r w:rsidRPr="00F27AF0">
        <w:rPr>
          <w:rFonts w:eastAsiaTheme="minorEastAsia"/>
          <w:noProof/>
        </w:rPr>
        <w:t>311/2006 Sb. o</w:t>
      </w:r>
      <w:r w:rsidR="00546698">
        <w:rPr>
          <w:rFonts w:eastAsiaTheme="minorEastAsia"/>
          <w:noProof/>
        </w:rPr>
        <w:t> </w:t>
      </w:r>
      <w:r w:rsidRPr="00F27AF0">
        <w:rPr>
          <w:rFonts w:eastAsiaTheme="minorEastAsia"/>
          <w:noProof/>
        </w:rPr>
        <w:t>pohonných hmotách</w:t>
      </w:r>
      <w:r w:rsidRPr="00314AC7">
        <w:t xml:space="preserve"> </w:t>
      </w:r>
      <w:r w:rsidRPr="00A5191D">
        <w:t>a</w:t>
      </w:r>
      <w:r w:rsidR="00546698">
        <w:t> </w:t>
      </w:r>
      <w:r w:rsidRPr="00A5191D">
        <w:t>čerpacích stanicích pohonných hmot</w:t>
      </w:r>
      <w:r w:rsidRPr="00F27AF0">
        <w:rPr>
          <w:rFonts w:eastAsiaTheme="minorEastAsia"/>
          <w:noProof/>
        </w:rPr>
        <w:t>. Vozidla dále upravuje Zákon č. 56/2001 Sb. o</w:t>
      </w:r>
      <w:r w:rsidR="00546698">
        <w:rPr>
          <w:rFonts w:eastAsiaTheme="minorEastAsia"/>
          <w:noProof/>
        </w:rPr>
        <w:t> </w:t>
      </w:r>
      <w:r w:rsidRPr="00F27AF0">
        <w:rPr>
          <w:rFonts w:eastAsiaTheme="minorEastAsia"/>
          <w:noProof/>
        </w:rPr>
        <w:t>podmínkách provozu vozidel na pozemních komunikacích.</w:t>
      </w:r>
    </w:p>
    <w:p w14:paraId="4D291585" w14:textId="77777777" w:rsidR="001B4719" w:rsidRDefault="001B4719" w:rsidP="001B4719">
      <w:pPr>
        <w:jc w:val="both"/>
        <w:rPr>
          <w:rFonts w:eastAsiaTheme="minorEastAsia"/>
          <w:noProof/>
        </w:rPr>
      </w:pPr>
      <w:r>
        <w:t xml:space="preserve">Pro účely aktualizovaného NAP CM bude pod pojmem „elektrické vozidlo“ chápáno vozidlo kategorie </w:t>
      </w:r>
      <w:r w:rsidRPr="00F27AF0">
        <w:t xml:space="preserve">bateriového elektrického vozidla </w:t>
      </w:r>
      <w:r>
        <w:t>(BEV) a</w:t>
      </w:r>
      <w:r w:rsidR="00546698">
        <w:t> </w:t>
      </w:r>
      <w:r>
        <w:t xml:space="preserve">nebo </w:t>
      </w:r>
      <w:r w:rsidRPr="00F27AF0">
        <w:t xml:space="preserve">plug-in hybridního elektrického vozidla </w:t>
      </w:r>
      <w:r>
        <w:t>(PHEV) splňující aktuální definici nízkoemisního vozidla v</w:t>
      </w:r>
      <w:r w:rsidR="00546698">
        <w:t> </w:t>
      </w:r>
      <w:r>
        <w:t>legislativě EU</w:t>
      </w:r>
      <w:r>
        <w:rPr>
          <w:rStyle w:val="Znakapoznpodarou"/>
          <w:rFonts w:eastAsiaTheme="minorEastAsia"/>
          <w:noProof/>
        </w:rPr>
        <w:footnoteReference w:id="2"/>
      </w:r>
      <w:r>
        <w:t xml:space="preserve">, kdy </w:t>
      </w:r>
      <w:r>
        <w:rPr>
          <w:rFonts w:eastAsiaTheme="minorEastAsia"/>
          <w:noProof/>
        </w:rPr>
        <w:t>jako „nízkoemisní“ či „čisté“ osobní vozidlo je chápáno vozidlo s</w:t>
      </w:r>
      <w:r w:rsidR="00546698">
        <w:rPr>
          <w:rFonts w:eastAsiaTheme="minorEastAsia"/>
          <w:noProof/>
        </w:rPr>
        <w:t> </w:t>
      </w:r>
      <w:r>
        <w:rPr>
          <w:rFonts w:eastAsiaTheme="minorEastAsia"/>
          <w:noProof/>
        </w:rPr>
        <w:t>emisemi CO</w:t>
      </w:r>
      <w:r>
        <w:rPr>
          <w:rFonts w:eastAsiaTheme="minorEastAsia"/>
          <w:noProof/>
          <w:vertAlign w:val="subscript"/>
        </w:rPr>
        <w:t xml:space="preserve">2 </w:t>
      </w:r>
      <w:r>
        <w:rPr>
          <w:rFonts w:eastAsiaTheme="minorEastAsia"/>
          <w:noProof/>
        </w:rPr>
        <w:t>do 50 g/km.</w:t>
      </w:r>
    </w:p>
    <w:p w14:paraId="3C2B749F" w14:textId="77777777" w:rsidR="001B4719" w:rsidRPr="00D41EAB" w:rsidRDefault="001B4719" w:rsidP="001B4719">
      <w:pPr>
        <w:jc w:val="both"/>
        <w:rPr>
          <w:rStyle w:val="Siln"/>
          <w:b/>
          <w:u w:val="single"/>
        </w:rPr>
      </w:pPr>
      <w:bookmarkStart w:id="160" w:name="_Toc12540116"/>
      <w:r w:rsidRPr="00D41EAB">
        <w:rPr>
          <w:rStyle w:val="Siln"/>
          <w:b/>
          <w:u w:val="single"/>
        </w:rPr>
        <w:t>Dobíjecí infrastruktura</w:t>
      </w:r>
      <w:bookmarkEnd w:id="160"/>
    </w:p>
    <w:p w14:paraId="6A25C16A" w14:textId="77777777" w:rsidR="001B4719" w:rsidRDefault="001B4719" w:rsidP="001B4719">
      <w:pPr>
        <w:jc w:val="both"/>
      </w:pPr>
      <w:r>
        <w:t>Pojem dobíjecí stanice je definován v</w:t>
      </w:r>
      <w:r w:rsidR="00546698">
        <w:t> </w:t>
      </w:r>
      <w:r>
        <w:t>rámci zákona č. 311/2006 Sb., o</w:t>
      </w:r>
      <w:r w:rsidR="00546698">
        <w:t> </w:t>
      </w:r>
      <w:r>
        <w:t>pohonných hmotách, kterým je implementována směrnice č. 2014/94/EU o</w:t>
      </w:r>
      <w:r w:rsidR="00546698">
        <w:t> </w:t>
      </w:r>
      <w:r>
        <w:t>zavádění infrastruktury pro alternativní paliva.</w:t>
      </w:r>
    </w:p>
    <w:p w14:paraId="4579EE8D" w14:textId="77777777" w:rsidR="001B4719" w:rsidRDefault="001B4719" w:rsidP="001B4719">
      <w:pPr>
        <w:jc w:val="both"/>
      </w:pPr>
      <w:r w:rsidRPr="00F27AF0">
        <w:t>Na základě praktických zkušeností s</w:t>
      </w:r>
      <w:r w:rsidR="00546698">
        <w:t> </w:t>
      </w:r>
      <w:r w:rsidRPr="00F27AF0">
        <w:t>aplikací tohoto zákona je třeba terminologii dobíjecích stanic zpřesnit následovně:</w:t>
      </w:r>
    </w:p>
    <w:p w14:paraId="71C17867" w14:textId="77777777" w:rsidR="001B4719" w:rsidRDefault="001B4719" w:rsidP="001B4719">
      <w:pPr>
        <w:pStyle w:val="Odrka1"/>
        <w:jc w:val="both"/>
      </w:pPr>
      <w:r>
        <w:t>Dobíjecí bod: rozhraní, které umožňuje v</w:t>
      </w:r>
      <w:r w:rsidR="00546698">
        <w:t> </w:t>
      </w:r>
      <w:r>
        <w:t>jeden okamžik dobíjení jednoho vozidla</w:t>
      </w:r>
    </w:p>
    <w:p w14:paraId="2634F7D0" w14:textId="77777777" w:rsidR="001B4719" w:rsidRDefault="001B4719" w:rsidP="001B4719">
      <w:pPr>
        <w:pStyle w:val="Odrka1"/>
        <w:jc w:val="both"/>
      </w:pPr>
      <w:r>
        <w:t xml:space="preserve">Dobíjecí stanice: samostatný soubor jednoho nebo více dobíjecích bodů </w:t>
      </w:r>
    </w:p>
    <w:p w14:paraId="5913ABB8" w14:textId="77777777" w:rsidR="001B4719" w:rsidRPr="00E40F5A" w:rsidRDefault="001B4719" w:rsidP="001B4719">
      <w:pPr>
        <w:pStyle w:val="Odrka1"/>
        <w:jc w:val="both"/>
      </w:pPr>
      <w:r>
        <w:t xml:space="preserve">Dobíjecí lokalita: místo, kde je umístěna jedna nebo více dobíjecích stanic jednoho nebo více provozovatelů </w:t>
      </w:r>
    </w:p>
    <w:p w14:paraId="62AFA4C8" w14:textId="77777777" w:rsidR="001B4719" w:rsidRDefault="001B4719" w:rsidP="001B4719">
      <w:pPr>
        <w:jc w:val="both"/>
      </w:pPr>
      <w:r>
        <w:t>Tato kategorizace je důležitá zejména z</w:t>
      </w:r>
      <w:r w:rsidR="00546698">
        <w:t> </w:t>
      </w:r>
      <w:r>
        <w:t>hlediska sledování a</w:t>
      </w:r>
      <w:r w:rsidR="00546698">
        <w:t> </w:t>
      </w:r>
      <w:r>
        <w:t>evidence dobíjecích bodů/stanic, ale i</w:t>
      </w:r>
      <w:r w:rsidR="00546698">
        <w:t> </w:t>
      </w:r>
      <w:r>
        <w:t>z hlediska definice typu dobíjecí stanice a</w:t>
      </w:r>
      <w:r w:rsidR="00546698">
        <w:t> </w:t>
      </w:r>
      <w:r>
        <w:t>na to navázaných povinností, případně podpor.</w:t>
      </w:r>
    </w:p>
    <w:p w14:paraId="07517EED" w14:textId="77777777" w:rsidR="001B4719" w:rsidRPr="006320C3" w:rsidRDefault="001B4719" w:rsidP="001B4719">
      <w:pPr>
        <w:jc w:val="both"/>
      </w:pPr>
      <w:r w:rsidRPr="006320C3">
        <w:t>Z hlediska výkonu jsou rozlišovány dobíjecí body:</w:t>
      </w:r>
    </w:p>
    <w:p w14:paraId="5C7EFDA6" w14:textId="77777777" w:rsidR="001B4719" w:rsidRDefault="001B4719" w:rsidP="001B4719">
      <w:pPr>
        <w:pStyle w:val="Odrka1"/>
        <w:jc w:val="both"/>
      </w:pPr>
      <w:r>
        <w:t xml:space="preserve">Běžná </w:t>
      </w:r>
      <w:r w:rsidRPr="0081766A">
        <w:t>dobíjecí stanice</w:t>
      </w:r>
      <w:r>
        <w:t xml:space="preserve"> (výkon do 22 kW včetně)</w:t>
      </w:r>
    </w:p>
    <w:p w14:paraId="0ED5A1F3" w14:textId="77777777" w:rsidR="001B4719" w:rsidRDefault="001B4719" w:rsidP="001B4719">
      <w:pPr>
        <w:pStyle w:val="Odrka1"/>
        <w:jc w:val="both"/>
      </w:pPr>
      <w:r>
        <w:t>Vysoce výkonné (více než 22 kW až 120 kW včetně)</w:t>
      </w:r>
    </w:p>
    <w:p w14:paraId="34B2962F" w14:textId="77777777" w:rsidR="001B4719" w:rsidRPr="003D0FDD" w:rsidRDefault="001B4719" w:rsidP="001B4719">
      <w:pPr>
        <w:pStyle w:val="Odrka1"/>
        <w:jc w:val="both"/>
      </w:pPr>
      <w:r>
        <w:t>Ultra výkonné (nad 120 kW výkonu)</w:t>
      </w:r>
    </w:p>
    <w:p w14:paraId="423857AD" w14:textId="77777777" w:rsidR="001B4719" w:rsidRPr="006320C3" w:rsidRDefault="001B4719" w:rsidP="001B4719">
      <w:pPr>
        <w:jc w:val="both"/>
      </w:pPr>
      <w:r w:rsidRPr="006320C3">
        <w:t>Z hlediska přístupnosti jsou rozlišovány dobíjecí stanice/body:</w:t>
      </w:r>
    </w:p>
    <w:p w14:paraId="06885015" w14:textId="77777777" w:rsidR="001B4719" w:rsidRDefault="001B4719" w:rsidP="001B4719">
      <w:pPr>
        <w:pStyle w:val="Odrka1"/>
        <w:jc w:val="both"/>
      </w:pPr>
      <w:r>
        <w:t>Veřejně přístupné (po celou dobu provozu je přístupná široké veřejnosti na bázi nediskriminačního přístupu)</w:t>
      </w:r>
    </w:p>
    <w:p w14:paraId="3674ED00" w14:textId="77777777" w:rsidR="001B4719" w:rsidRDefault="001B4719" w:rsidP="001B4719">
      <w:pPr>
        <w:pStyle w:val="Odrka1"/>
        <w:jc w:val="both"/>
      </w:pPr>
      <w:r>
        <w:t>S omezeným přístupem veřejnosti (dobíjecí stanice je nějakou část provozní doby přístupná jen omezené skupině uživatelů)</w:t>
      </w:r>
    </w:p>
    <w:p w14:paraId="3EB4FBC2" w14:textId="77777777" w:rsidR="001B4719" w:rsidRDefault="001B4719" w:rsidP="001B4719">
      <w:pPr>
        <w:pStyle w:val="Odrka1"/>
        <w:jc w:val="both"/>
      </w:pPr>
      <w:r>
        <w:t>Neveřejné (přístupné pouze omezené skupině uživatelů)</w:t>
      </w:r>
    </w:p>
    <w:p w14:paraId="402B0463" w14:textId="77777777" w:rsidR="001B4719" w:rsidRDefault="001B4719" w:rsidP="001B4719">
      <w:pPr>
        <w:jc w:val="both"/>
      </w:pPr>
      <w:r>
        <w:t>Přístupnost je definována na úrovni dobíjecí stanice nebo dobíjecího bodu (na jednom místě mohou být instalovány jak dobíjecí stanice přístupné široké veřejnosti, tak i</w:t>
      </w:r>
      <w:r w:rsidR="00546698">
        <w:t> </w:t>
      </w:r>
      <w:r>
        <w:t>dobíjecí stanice s</w:t>
      </w:r>
      <w:r w:rsidR="00546698">
        <w:t> </w:t>
      </w:r>
      <w:r>
        <w:t>omezeným přístupem, rozlišení musí být pro koncového uživatele srozumitelné).</w:t>
      </w:r>
    </w:p>
    <w:p w14:paraId="4D542BAC" w14:textId="77777777" w:rsidR="001B4719" w:rsidRPr="00045F42" w:rsidRDefault="001B4719" w:rsidP="001B4719">
      <w:pPr>
        <w:pStyle w:val="Nadpis4"/>
        <w:numPr>
          <w:ilvl w:val="3"/>
          <w:numId w:val="9"/>
        </w:numPr>
        <w:jc w:val="both"/>
      </w:pPr>
      <w:bookmarkStart w:id="161" w:name="_Toc25136784"/>
      <w:bookmarkStart w:id="162" w:name="_Toc34295910"/>
      <w:r w:rsidRPr="00045F42">
        <w:t>Typy elektrických vozidel z</w:t>
      </w:r>
      <w:r w:rsidR="00546698">
        <w:t> </w:t>
      </w:r>
      <w:r w:rsidRPr="00045F42">
        <w:t>pohledu pohonu</w:t>
      </w:r>
      <w:bookmarkEnd w:id="161"/>
      <w:bookmarkEnd w:id="162"/>
    </w:p>
    <w:p w14:paraId="311C39EE" w14:textId="77777777" w:rsidR="001B4719" w:rsidRPr="00376971" w:rsidRDefault="001B4719" w:rsidP="001B4719">
      <w:pPr>
        <w:pStyle w:val="Odstavecseseznamem"/>
        <w:widowControl w:val="0"/>
        <w:numPr>
          <w:ilvl w:val="0"/>
          <w:numId w:val="17"/>
        </w:numPr>
        <w:tabs>
          <w:tab w:val="left" w:pos="567"/>
        </w:tabs>
        <w:autoSpaceDE w:val="0"/>
        <w:autoSpaceDN w:val="0"/>
        <w:adjustRightInd w:val="0"/>
        <w:spacing w:before="0" w:after="0"/>
        <w:ind w:left="357" w:hanging="357"/>
        <w:jc w:val="both"/>
        <w:textAlignment w:val="center"/>
        <w:rPr>
          <w:rFonts w:eastAsiaTheme="minorEastAsia" w:cs="Arial"/>
          <w:noProof/>
          <w:szCs w:val="22"/>
        </w:rPr>
      </w:pPr>
      <w:r w:rsidRPr="00376971">
        <w:rPr>
          <w:rFonts w:eastAsiaTheme="minorEastAsia" w:cs="Arial"/>
          <w:noProof/>
          <w:szCs w:val="22"/>
          <w:u w:val="single"/>
        </w:rPr>
        <w:t>mild-hybrid</w:t>
      </w:r>
      <w:r w:rsidRPr="00376971">
        <w:rPr>
          <w:rFonts w:eastAsiaTheme="minorEastAsia" w:cs="Arial"/>
          <w:noProof/>
          <w:szCs w:val="22"/>
        </w:rPr>
        <w:t>: hybridní automobil, který využívá k</w:t>
      </w:r>
      <w:r w:rsidR="00546698">
        <w:rPr>
          <w:rFonts w:eastAsiaTheme="minorEastAsia" w:cs="Arial"/>
          <w:noProof/>
          <w:szCs w:val="22"/>
        </w:rPr>
        <w:t> </w:t>
      </w:r>
      <w:r w:rsidRPr="00376971">
        <w:rPr>
          <w:rFonts w:eastAsiaTheme="minorEastAsia" w:cs="Arial"/>
          <w:noProof/>
          <w:szCs w:val="22"/>
        </w:rPr>
        <w:t xml:space="preserve">pohonu kol po celou dobu jízdy spalovací motor, zatímco elektromotor (s 48V baterií) pouze ve vybraných situacích asistuje, např. při rozjíždění </w:t>
      </w:r>
      <w:r w:rsidRPr="00376971">
        <w:rPr>
          <w:rFonts w:eastAsiaTheme="minorEastAsia" w:cs="Arial"/>
          <w:noProof/>
          <w:szCs w:val="22"/>
        </w:rPr>
        <w:lastRenderedPageBreak/>
        <w:t>či zrychlování; není však možné, aby hybrid byl poháněn samotnou elektřinou (některá vozidla však mohou „plachtit“ či se na elektrický pohon mohou rozjet);</w:t>
      </w:r>
      <w:r w:rsidRPr="00376971">
        <w:rPr>
          <w:rFonts w:cs="Arial"/>
          <w:szCs w:val="22"/>
        </w:rPr>
        <w:t xml:space="preserve"> akumulátor </w:t>
      </w:r>
      <w:r w:rsidRPr="00376971">
        <w:rPr>
          <w:rFonts w:eastAsiaTheme="minorEastAsia" w:cs="Arial"/>
          <w:noProof/>
          <w:szCs w:val="22"/>
        </w:rPr>
        <w:t>je schopen částečně rekuperovat, kapacita baterií je obvykle nižší než u</w:t>
      </w:r>
      <w:r w:rsidR="00546698">
        <w:rPr>
          <w:rFonts w:eastAsiaTheme="minorEastAsia" w:cs="Arial"/>
          <w:noProof/>
          <w:szCs w:val="22"/>
        </w:rPr>
        <w:t> </w:t>
      </w:r>
      <w:r>
        <w:rPr>
          <w:rFonts w:eastAsiaTheme="minorEastAsia" w:cs="Arial"/>
          <w:noProof/>
          <w:szCs w:val="22"/>
        </w:rPr>
        <w:t>F</w:t>
      </w:r>
      <w:r w:rsidRPr="00376971">
        <w:rPr>
          <w:rFonts w:eastAsiaTheme="minorEastAsia" w:cs="Arial"/>
          <w:noProof/>
          <w:szCs w:val="22"/>
        </w:rPr>
        <w:t>HEV, limit emisí CO</w:t>
      </w:r>
      <w:r w:rsidRPr="00376971">
        <w:rPr>
          <w:rFonts w:eastAsiaTheme="minorEastAsia" w:cs="Arial"/>
          <w:noProof/>
          <w:szCs w:val="22"/>
          <w:vertAlign w:val="subscript"/>
        </w:rPr>
        <w:t>2</w:t>
      </w:r>
      <w:r w:rsidRPr="00376971">
        <w:rPr>
          <w:rFonts w:eastAsiaTheme="minorEastAsia" w:cs="Arial"/>
          <w:noProof/>
          <w:szCs w:val="22"/>
        </w:rPr>
        <w:t xml:space="preserve"> 50 g/km není schopen splnit.</w:t>
      </w:r>
    </w:p>
    <w:p w14:paraId="22E72E23" w14:textId="23C15D32" w:rsidR="001B4719" w:rsidRPr="00376971" w:rsidRDefault="001B4719" w:rsidP="001B4719">
      <w:pPr>
        <w:pStyle w:val="Odstavecseseznamem"/>
        <w:widowControl w:val="0"/>
        <w:numPr>
          <w:ilvl w:val="0"/>
          <w:numId w:val="17"/>
        </w:numPr>
        <w:autoSpaceDE w:val="0"/>
        <w:autoSpaceDN w:val="0"/>
        <w:adjustRightInd w:val="0"/>
        <w:spacing w:before="0" w:after="0"/>
        <w:jc w:val="both"/>
        <w:textAlignment w:val="center"/>
        <w:rPr>
          <w:rFonts w:eastAsiaTheme="minorEastAsia" w:cs="Arial"/>
          <w:noProof/>
          <w:szCs w:val="22"/>
        </w:rPr>
      </w:pPr>
      <w:r w:rsidRPr="00376971">
        <w:rPr>
          <w:rFonts w:eastAsiaTheme="minorEastAsia" w:cs="Arial"/>
          <w:noProof/>
          <w:szCs w:val="22"/>
          <w:u w:val="single"/>
        </w:rPr>
        <w:t>full hybrid (</w:t>
      </w:r>
      <w:r>
        <w:rPr>
          <w:rFonts w:eastAsiaTheme="minorEastAsia" w:cs="Arial"/>
          <w:noProof/>
          <w:szCs w:val="22"/>
          <w:u w:val="single"/>
        </w:rPr>
        <w:t>F</w:t>
      </w:r>
      <w:r w:rsidRPr="00376971">
        <w:rPr>
          <w:rFonts w:eastAsiaTheme="minorEastAsia" w:cs="Arial"/>
          <w:noProof/>
          <w:szCs w:val="22"/>
          <w:u w:val="single"/>
        </w:rPr>
        <w:t>HEV)</w:t>
      </w:r>
      <w:r w:rsidRPr="00376971">
        <w:rPr>
          <w:rFonts w:eastAsiaTheme="minorEastAsia" w:cs="Arial"/>
          <w:noProof/>
          <w:szCs w:val="22"/>
        </w:rPr>
        <w:t>: vozidlo s</w:t>
      </w:r>
      <w:r w:rsidR="00546698">
        <w:rPr>
          <w:rFonts w:eastAsiaTheme="minorEastAsia" w:cs="Arial"/>
          <w:noProof/>
          <w:szCs w:val="22"/>
        </w:rPr>
        <w:t> </w:t>
      </w:r>
      <w:r w:rsidRPr="00376971">
        <w:rPr>
          <w:rFonts w:eastAsiaTheme="minorEastAsia" w:cs="Arial"/>
          <w:noProof/>
          <w:szCs w:val="22"/>
        </w:rPr>
        <w:t>kombinací spalovacího a</w:t>
      </w:r>
      <w:r w:rsidR="00546698">
        <w:rPr>
          <w:rFonts w:eastAsiaTheme="minorEastAsia" w:cs="Arial"/>
          <w:noProof/>
          <w:szCs w:val="22"/>
        </w:rPr>
        <w:t> </w:t>
      </w:r>
      <w:r w:rsidRPr="00376971">
        <w:rPr>
          <w:rFonts w:eastAsiaTheme="minorEastAsia" w:cs="Arial"/>
          <w:noProof/>
          <w:szCs w:val="22"/>
        </w:rPr>
        <w:t>elektrického motoru bez možnosti externího dobíjení, umožnuje automatické přepínání mezi konvenčním režimem, čistě elektrickým režimem (na rozdíl od mild-hybridu se vyznačuje schopností samostatné jízdy na elektromotor s</w:t>
      </w:r>
      <w:r w:rsidR="00546698">
        <w:rPr>
          <w:rFonts w:eastAsiaTheme="minorEastAsia" w:cs="Arial"/>
          <w:noProof/>
          <w:szCs w:val="22"/>
        </w:rPr>
        <w:t> </w:t>
      </w:r>
      <w:r w:rsidRPr="00376971">
        <w:rPr>
          <w:rFonts w:eastAsiaTheme="minorEastAsia" w:cs="Arial"/>
          <w:noProof/>
          <w:szCs w:val="22"/>
        </w:rPr>
        <w:t>vypnutým spalovacím motorem) a</w:t>
      </w:r>
      <w:r w:rsidR="00546698">
        <w:rPr>
          <w:rFonts w:eastAsiaTheme="minorEastAsia" w:cs="Arial"/>
          <w:noProof/>
          <w:szCs w:val="22"/>
        </w:rPr>
        <w:t> </w:t>
      </w:r>
      <w:r w:rsidRPr="00376971">
        <w:rPr>
          <w:rFonts w:eastAsiaTheme="minorEastAsia" w:cs="Arial"/>
          <w:noProof/>
          <w:szCs w:val="22"/>
        </w:rPr>
        <w:t>režimem kombinovaným; limit emisí CO</w:t>
      </w:r>
      <w:r w:rsidRPr="00376971">
        <w:rPr>
          <w:rFonts w:eastAsiaTheme="minorEastAsia" w:cs="Arial"/>
          <w:noProof/>
          <w:szCs w:val="22"/>
          <w:vertAlign w:val="subscript"/>
        </w:rPr>
        <w:t>2</w:t>
      </w:r>
      <w:r w:rsidRPr="00376971">
        <w:rPr>
          <w:rFonts w:eastAsiaTheme="minorEastAsia" w:cs="Arial"/>
          <w:noProof/>
          <w:szCs w:val="22"/>
        </w:rPr>
        <w:t xml:space="preserve"> 50 g/km není schopno splnit (snížení emisí však může být i</w:t>
      </w:r>
      <w:r w:rsidR="00546698">
        <w:rPr>
          <w:rFonts w:eastAsiaTheme="minorEastAsia" w:cs="Arial"/>
          <w:noProof/>
          <w:szCs w:val="22"/>
        </w:rPr>
        <w:t> </w:t>
      </w:r>
      <w:r w:rsidRPr="00376971">
        <w:rPr>
          <w:rFonts w:eastAsiaTheme="minorEastAsia" w:cs="Arial"/>
          <w:noProof/>
          <w:szCs w:val="22"/>
        </w:rPr>
        <w:t>více než 30% oproti obdobným vozidlům s</w:t>
      </w:r>
      <w:r w:rsidR="00546698">
        <w:rPr>
          <w:rFonts w:eastAsiaTheme="minorEastAsia" w:cs="Arial"/>
          <w:noProof/>
          <w:szCs w:val="22"/>
        </w:rPr>
        <w:t> </w:t>
      </w:r>
      <w:r w:rsidRPr="00376971">
        <w:rPr>
          <w:rFonts w:eastAsiaTheme="minorEastAsia" w:cs="Arial"/>
          <w:noProof/>
          <w:szCs w:val="22"/>
        </w:rPr>
        <w:t>pouze spalovacím motorem).</w:t>
      </w:r>
    </w:p>
    <w:p w14:paraId="19E1C3EB" w14:textId="4F29E1EC" w:rsidR="001B4719" w:rsidRPr="00376971" w:rsidRDefault="001B4719" w:rsidP="001B4719">
      <w:pPr>
        <w:pStyle w:val="Odstavecseseznamem"/>
        <w:widowControl w:val="0"/>
        <w:numPr>
          <w:ilvl w:val="0"/>
          <w:numId w:val="17"/>
        </w:numPr>
        <w:autoSpaceDE w:val="0"/>
        <w:autoSpaceDN w:val="0"/>
        <w:adjustRightInd w:val="0"/>
        <w:spacing w:before="0" w:after="0"/>
        <w:jc w:val="both"/>
        <w:textAlignment w:val="center"/>
        <w:rPr>
          <w:rFonts w:eastAsiaTheme="minorEastAsia" w:cs="Arial"/>
          <w:noProof/>
          <w:szCs w:val="22"/>
        </w:rPr>
      </w:pPr>
      <w:r w:rsidRPr="00376971">
        <w:rPr>
          <w:rFonts w:eastAsiaTheme="minorEastAsia" w:cs="Arial"/>
          <w:noProof/>
          <w:szCs w:val="22"/>
          <w:u w:val="single"/>
        </w:rPr>
        <w:t>plug-in hybrid (PHEV)</w:t>
      </w:r>
      <w:r w:rsidRPr="00376971">
        <w:rPr>
          <w:rFonts w:eastAsiaTheme="minorEastAsia" w:cs="Arial"/>
          <w:noProof/>
          <w:szCs w:val="22"/>
        </w:rPr>
        <w:t xml:space="preserve">: má dva zdroje hnací síly, umožňuje externí nábíjení, , disponuje větším akumulátorem, který umožňuje urazit čistě na elektrický pohon delší vzdálenosti než </w:t>
      </w:r>
      <w:r>
        <w:rPr>
          <w:rFonts w:eastAsiaTheme="minorEastAsia" w:cs="Arial"/>
          <w:noProof/>
          <w:szCs w:val="22"/>
        </w:rPr>
        <w:t>F</w:t>
      </w:r>
      <w:r w:rsidRPr="00376971">
        <w:rPr>
          <w:rFonts w:eastAsiaTheme="minorEastAsia" w:cs="Arial"/>
          <w:noProof/>
          <w:szCs w:val="22"/>
        </w:rPr>
        <w:t>HEV; je obvykle schopen splnit hodnotu emisí CO</w:t>
      </w:r>
      <w:r w:rsidRPr="00376971">
        <w:rPr>
          <w:rFonts w:eastAsiaTheme="minorEastAsia" w:cs="Arial"/>
          <w:noProof/>
          <w:szCs w:val="22"/>
          <w:vertAlign w:val="subscript"/>
        </w:rPr>
        <w:t>2</w:t>
      </w:r>
      <w:r w:rsidRPr="00376971">
        <w:rPr>
          <w:rFonts w:eastAsiaTheme="minorEastAsia" w:cs="Arial"/>
          <w:noProof/>
          <w:szCs w:val="22"/>
        </w:rPr>
        <w:t xml:space="preserve"> pod 50 g/km.</w:t>
      </w:r>
    </w:p>
    <w:p w14:paraId="0525C1A0" w14:textId="77777777" w:rsidR="001B4719" w:rsidRPr="00376971" w:rsidRDefault="001B4719" w:rsidP="001B4719">
      <w:pPr>
        <w:pStyle w:val="Odstavecseseznamem"/>
        <w:widowControl w:val="0"/>
        <w:numPr>
          <w:ilvl w:val="0"/>
          <w:numId w:val="17"/>
        </w:numPr>
        <w:autoSpaceDE w:val="0"/>
        <w:autoSpaceDN w:val="0"/>
        <w:adjustRightInd w:val="0"/>
        <w:spacing w:before="0" w:after="0"/>
        <w:jc w:val="both"/>
        <w:textAlignment w:val="center"/>
        <w:rPr>
          <w:rFonts w:eastAsiaTheme="minorEastAsia" w:cs="Arial"/>
          <w:noProof/>
          <w:szCs w:val="22"/>
        </w:rPr>
      </w:pPr>
      <w:r w:rsidRPr="00376971">
        <w:rPr>
          <w:rFonts w:eastAsiaTheme="minorEastAsia" w:cs="Arial"/>
          <w:noProof/>
          <w:szCs w:val="22"/>
          <w:u w:val="single"/>
        </w:rPr>
        <w:t>battery electric vehicle (BEV)</w:t>
      </w:r>
      <w:r w:rsidRPr="00376971">
        <w:rPr>
          <w:rFonts w:eastAsiaTheme="minorEastAsia" w:cs="Arial"/>
          <w:noProof/>
          <w:szCs w:val="22"/>
        </w:rPr>
        <w:t>: elektromobil s</w:t>
      </w:r>
      <w:r w:rsidR="00546698">
        <w:rPr>
          <w:rFonts w:eastAsiaTheme="minorEastAsia" w:cs="Arial"/>
          <w:noProof/>
          <w:szCs w:val="22"/>
        </w:rPr>
        <w:t> </w:t>
      </w:r>
      <w:r w:rsidRPr="00376971">
        <w:rPr>
          <w:rFonts w:eastAsiaTheme="minorEastAsia" w:cs="Arial"/>
          <w:noProof/>
          <w:szCs w:val="22"/>
        </w:rPr>
        <w:t>čistě elektrickým pohonem.</w:t>
      </w:r>
    </w:p>
    <w:p w14:paraId="1481D3E5" w14:textId="77777777" w:rsidR="000050AA" w:rsidRPr="000050AA" w:rsidRDefault="001B4719" w:rsidP="000050AA">
      <w:pPr>
        <w:jc w:val="both"/>
        <w:rPr>
          <w:rFonts w:eastAsiaTheme="minorEastAsia" w:cs="Arial"/>
          <w:noProof/>
          <w:szCs w:val="22"/>
        </w:rPr>
      </w:pPr>
      <w:r w:rsidRPr="00376971">
        <w:rPr>
          <w:rFonts w:eastAsiaTheme="minorEastAsia" w:cs="Arial"/>
          <w:noProof/>
          <w:szCs w:val="22"/>
        </w:rPr>
        <w:t xml:space="preserve">V případě </w:t>
      </w:r>
      <w:r>
        <w:rPr>
          <w:rFonts w:eastAsiaTheme="minorEastAsia" w:cs="Arial"/>
          <w:noProof/>
          <w:szCs w:val="22"/>
        </w:rPr>
        <w:t>F</w:t>
      </w:r>
      <w:r w:rsidRPr="00376971">
        <w:rPr>
          <w:rFonts w:eastAsiaTheme="minorEastAsia" w:cs="Arial"/>
          <w:noProof/>
          <w:szCs w:val="22"/>
        </w:rPr>
        <w:t>HEV, PHEV a</w:t>
      </w:r>
      <w:r w:rsidR="00546698">
        <w:rPr>
          <w:rFonts w:eastAsiaTheme="minorEastAsia" w:cs="Arial"/>
          <w:noProof/>
          <w:szCs w:val="22"/>
        </w:rPr>
        <w:t> </w:t>
      </w:r>
      <w:r w:rsidRPr="00376971">
        <w:rPr>
          <w:rFonts w:eastAsiaTheme="minorEastAsia" w:cs="Arial"/>
          <w:noProof/>
          <w:szCs w:val="22"/>
        </w:rPr>
        <w:t>BEV se akumulátor automaticky dobíjí rekuperací kinetické energie při brzdění nebo jízdě setrvačností.</w:t>
      </w:r>
    </w:p>
    <w:p w14:paraId="53AAB794" w14:textId="77777777" w:rsidR="000050AA" w:rsidRDefault="000050AA" w:rsidP="000050AA">
      <w:pPr>
        <w:pStyle w:val="Titulek"/>
        <w:keepNext/>
        <w:jc w:val="both"/>
      </w:pPr>
      <w:bookmarkStart w:id="163" w:name="_Toc25230409"/>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w:t>
      </w:r>
      <w:r w:rsidR="001614BC">
        <w:rPr>
          <w:noProof/>
        </w:rPr>
        <w:fldChar w:fldCharType="end"/>
      </w:r>
      <w:r w:rsidRPr="000050AA">
        <w:t xml:space="preserve"> </w:t>
      </w:r>
      <w:r>
        <w:t>Přehled typů elektrických vozidel z</w:t>
      </w:r>
      <w:r w:rsidR="00546698">
        <w:t> </w:t>
      </w:r>
      <w:r>
        <w:t>hlediska pohonu</w:t>
      </w:r>
      <w:bookmarkEnd w:id="163"/>
    </w:p>
    <w:p w14:paraId="57519C3B" w14:textId="77777777" w:rsidR="001B4719" w:rsidRDefault="001B4719" w:rsidP="001B4719">
      <w:pPr>
        <w:jc w:val="both"/>
        <w:rPr>
          <w:rFonts w:eastAsiaTheme="minorEastAsia"/>
          <w:noProof/>
        </w:rPr>
      </w:pPr>
      <w:r>
        <w:rPr>
          <w:rFonts w:eastAsiaTheme="minorEastAsia"/>
          <w:noProof/>
        </w:rPr>
        <w:drawing>
          <wp:inline distT="0" distB="0" distL="0" distR="0" wp14:anchorId="7DEF9C02" wp14:editId="6C40EB84">
            <wp:extent cx="4415155" cy="1704712"/>
            <wp:effectExtent l="0" t="0" r="444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99537" cy="1737292"/>
                    </a:xfrm>
                    <a:prstGeom prst="rect">
                      <a:avLst/>
                    </a:prstGeom>
                    <a:noFill/>
                  </pic:spPr>
                </pic:pic>
              </a:graphicData>
            </a:graphic>
          </wp:inline>
        </w:drawing>
      </w:r>
    </w:p>
    <w:p w14:paraId="70E359C0" w14:textId="77777777" w:rsidR="001B4719" w:rsidRDefault="001B4719" w:rsidP="001B4719">
      <w:pPr>
        <w:jc w:val="both"/>
        <w:rPr>
          <w:rFonts w:eastAsiaTheme="minorEastAsia"/>
          <w:noProof/>
        </w:rPr>
      </w:pPr>
      <w:r>
        <w:rPr>
          <w:rFonts w:eastAsiaTheme="minorEastAsia"/>
          <w:noProof/>
        </w:rPr>
        <w:t>Z</w:t>
      </w:r>
      <w:r w:rsidRPr="00BA0C17">
        <w:rPr>
          <w:rFonts w:eastAsiaTheme="minorEastAsia"/>
          <w:noProof/>
        </w:rPr>
        <w:t>droj: Škoda Auto</w:t>
      </w:r>
      <w:r w:rsidR="00BD293D">
        <w:rPr>
          <w:rFonts w:eastAsiaTheme="minorEastAsia"/>
          <w:noProof/>
        </w:rPr>
        <w:t xml:space="preserve"> a.s.</w:t>
      </w:r>
    </w:p>
    <w:p w14:paraId="5CF6FE2E" w14:textId="77777777" w:rsidR="001B4719" w:rsidRDefault="001B4719" w:rsidP="001B4719">
      <w:pPr>
        <w:jc w:val="both"/>
      </w:pPr>
      <w:r>
        <w:t>Z hlediska přechodu k</w:t>
      </w:r>
      <w:r w:rsidR="00546698">
        <w:t> </w:t>
      </w:r>
      <w:r>
        <w:t>nízkoemisní mobilitě lze u</w:t>
      </w:r>
      <w:r w:rsidR="00546698">
        <w:t> </w:t>
      </w:r>
      <w:r>
        <w:t>kategorií vozidel s</w:t>
      </w:r>
      <w:r w:rsidR="00546698">
        <w:t> </w:t>
      </w:r>
      <w:r>
        <w:t xml:space="preserve">pohonem </w:t>
      </w:r>
      <w:r w:rsidRPr="00BD293D">
        <w:t>mild</w:t>
      </w:r>
      <w:r>
        <w:t>-hybrid respektive full hybrid (FHEV) uvažovat jako o</w:t>
      </w:r>
      <w:r w:rsidR="00546698">
        <w:t> </w:t>
      </w:r>
      <w:r>
        <w:t>přechodové formě k</w:t>
      </w:r>
      <w:r w:rsidR="00546698">
        <w:t> </w:t>
      </w:r>
      <w:r>
        <w:t>typům pohonů plug-in hybrid (PHEV) respektive čistě elektrickým vozidlům (BEV).</w:t>
      </w:r>
    </w:p>
    <w:p w14:paraId="0A82060D" w14:textId="77777777" w:rsidR="001B4719" w:rsidRDefault="001B4719" w:rsidP="001B4719">
      <w:pPr>
        <w:jc w:val="both"/>
      </w:pPr>
      <w:r>
        <w:t>Uvažováním tohoto typu vozidel s</w:t>
      </w:r>
      <w:r w:rsidR="00546698">
        <w:t> </w:t>
      </w:r>
      <w:r>
        <w:t>plně hybridní technologií (FHEV) lze alespoň po přechodnou dobu podpořit přechod k</w:t>
      </w:r>
      <w:r w:rsidR="00546698">
        <w:t> </w:t>
      </w:r>
      <w:r>
        <w:t>plošnému rozvoji nízkoemisních vozidel. Tyto technologie mohou v</w:t>
      </w:r>
      <w:r w:rsidR="00546698">
        <w:t> </w:t>
      </w:r>
      <w:r>
        <w:t>podstatě okamžitě nabídnout následující výhody:</w:t>
      </w:r>
    </w:p>
    <w:p w14:paraId="392EE44F" w14:textId="77777777" w:rsidR="001B4719" w:rsidRDefault="001B4719" w:rsidP="001B4719">
      <w:pPr>
        <w:pStyle w:val="Odrka1"/>
        <w:jc w:val="both"/>
      </w:pPr>
      <w:r>
        <w:t>Příznivější ekologická kritéria</w:t>
      </w:r>
    </w:p>
    <w:p w14:paraId="56F97E65" w14:textId="77777777" w:rsidR="001B4719" w:rsidRDefault="001B4719" w:rsidP="001B4719">
      <w:pPr>
        <w:pStyle w:val="Odrka1"/>
        <w:jc w:val="both"/>
      </w:pPr>
      <w:r>
        <w:t>Snížení emisně znečišťujících látek ve městech</w:t>
      </w:r>
    </w:p>
    <w:p w14:paraId="3C72BE69" w14:textId="77777777" w:rsidR="001B4719" w:rsidRDefault="001B4719" w:rsidP="001B4719">
      <w:pPr>
        <w:pStyle w:val="Odrka1"/>
        <w:jc w:val="both"/>
      </w:pPr>
      <w:r>
        <w:t>Nezávislost na existenci infrastrukturní dobíjecí sítě</w:t>
      </w:r>
    </w:p>
    <w:p w14:paraId="18FF9432" w14:textId="77777777" w:rsidR="001B4719" w:rsidRDefault="001B4719" w:rsidP="001B4719">
      <w:pPr>
        <w:pStyle w:val="Odrka1"/>
        <w:jc w:val="both"/>
      </w:pPr>
      <w:r>
        <w:t>V současné době příznivější cenová dostupnost</w:t>
      </w:r>
    </w:p>
    <w:p w14:paraId="1FE4F1AC" w14:textId="77777777" w:rsidR="001B4719" w:rsidRDefault="001B4719" w:rsidP="001B4719">
      <w:pPr>
        <w:pStyle w:val="Odrka1"/>
        <w:jc w:val="both"/>
      </w:pPr>
      <w:r>
        <w:t>Neomezená dojezdová vzdálenost</w:t>
      </w:r>
    </w:p>
    <w:p w14:paraId="2D180D1B" w14:textId="77777777" w:rsidR="001B4719" w:rsidRDefault="001B4719" w:rsidP="001B4719">
      <w:pPr>
        <w:pStyle w:val="Odrka1"/>
        <w:jc w:val="both"/>
      </w:pPr>
      <w:r>
        <w:t>Nižší spotřeba paliv v</w:t>
      </w:r>
      <w:r w:rsidR="00546698">
        <w:t> </w:t>
      </w:r>
      <w:r>
        <w:t>porovnání s</w:t>
      </w:r>
      <w:r w:rsidR="00546698">
        <w:t> </w:t>
      </w:r>
      <w:r>
        <w:t>konvenčním pohonem</w:t>
      </w:r>
    </w:p>
    <w:p w14:paraId="0EBB9270" w14:textId="77777777" w:rsidR="001B4719" w:rsidRDefault="001B4719" w:rsidP="001B4719">
      <w:pPr>
        <w:jc w:val="both"/>
      </w:pPr>
      <w:r>
        <w:t>Je nezpochybnitelné, že z</w:t>
      </w:r>
      <w:r w:rsidR="00546698">
        <w:t> </w:t>
      </w:r>
      <w:r>
        <w:t>hlediska ekologických parametrů dosahují při sledování emisní stopy provozu jedině vozy plně elektrické spolu s</w:t>
      </w:r>
      <w:r w:rsidR="00546698">
        <w:t> </w:t>
      </w:r>
      <w:r>
        <w:t>vodíkovou technologií těch nejvýraznějších úspor škodlivin. Avšak jejich plošný rozvoj je v</w:t>
      </w:r>
      <w:r w:rsidR="00546698">
        <w:t> </w:t>
      </w:r>
      <w:r>
        <w:t>tuto chvíli závislý na existenci odpovídající infrastrukturní sítě dobíjecích či plnicích stanic a</w:t>
      </w:r>
      <w:r w:rsidR="00546698">
        <w:t> </w:t>
      </w:r>
      <w:r>
        <w:t xml:space="preserve">dostupnější ceně těchto vozidel.   </w:t>
      </w:r>
    </w:p>
    <w:p w14:paraId="4CED8D0E" w14:textId="77777777" w:rsidR="001B4719" w:rsidRDefault="001B4719" w:rsidP="001B4719">
      <w:pPr>
        <w:jc w:val="both"/>
      </w:pPr>
      <w:r>
        <w:t>Zařazení vozidel s</w:t>
      </w:r>
      <w:r w:rsidR="00546698">
        <w:t> </w:t>
      </w:r>
      <w:r>
        <w:t>plně hybridním pohonem (FHEV) do aktualizované verze NAP CM (minimálně po dobu, než bude plně dosaženo podmínek pro skutečně plošný rozvoj sítě vozů EV a</w:t>
      </w:r>
      <w:r w:rsidR="00546698">
        <w:t> </w:t>
      </w:r>
      <w:r>
        <w:t xml:space="preserve">PHEV) se proto </w:t>
      </w:r>
      <w:r>
        <w:lastRenderedPageBreak/>
        <w:t>jeví jako zcela logický krok, který České republice pomůže k</w:t>
      </w:r>
      <w:r w:rsidR="00546698">
        <w:t> </w:t>
      </w:r>
      <w:r>
        <w:t xml:space="preserve">okamžitému snižování emisí znečišťujících látek.  </w:t>
      </w:r>
    </w:p>
    <w:p w14:paraId="50493F08" w14:textId="77777777" w:rsidR="001B4719" w:rsidRPr="00D726C0" w:rsidRDefault="001B4719" w:rsidP="001B4719">
      <w:pPr>
        <w:jc w:val="both"/>
      </w:pPr>
      <w:r>
        <w:t>Naopak vynětí vozů kategorie FHEV ze státem podporovaných technologií by ve svém důsledku mohlo vést nejen k</w:t>
      </w:r>
      <w:r w:rsidR="00546698">
        <w:t> </w:t>
      </w:r>
      <w:r>
        <w:t>nerovnosti na trhu ekologicky šetrných vozidel postaveném na principu tzv. technologické neutrality, ale především k</w:t>
      </w:r>
      <w:r w:rsidR="00546698">
        <w:t> </w:t>
      </w:r>
      <w:r>
        <w:t>zásadnímu oddálení naplnění závazků v</w:t>
      </w:r>
      <w:r w:rsidR="00546698">
        <w:t> </w:t>
      </w:r>
      <w:r>
        <w:t>oblasti snižování emise skleníkových plynů, k</w:t>
      </w:r>
      <w:r w:rsidR="00546698">
        <w:t> </w:t>
      </w:r>
      <w:r>
        <w:t>němuž se Česká republika přihlásila jak v</w:t>
      </w:r>
      <w:r w:rsidR="00546698">
        <w:t> </w:t>
      </w:r>
      <w:r>
        <w:t>rámci globálních závazků, tak v</w:t>
      </w:r>
      <w:r w:rsidR="00546698">
        <w:t> </w:t>
      </w:r>
      <w:r>
        <w:t>rámci legislativy EU i</w:t>
      </w:r>
      <w:r w:rsidR="00546698">
        <w:t> </w:t>
      </w:r>
      <w:r>
        <w:t>ČR.</w:t>
      </w:r>
    </w:p>
    <w:p w14:paraId="2503F3CB" w14:textId="77777777" w:rsidR="001B4719" w:rsidRPr="00165E9E" w:rsidRDefault="001B4719" w:rsidP="001B4719">
      <w:pPr>
        <w:pStyle w:val="Nadpis3"/>
        <w:numPr>
          <w:ilvl w:val="2"/>
          <w:numId w:val="9"/>
        </w:numPr>
        <w:tabs>
          <w:tab w:val="left" w:pos="851"/>
          <w:tab w:val="num" w:pos="2411"/>
        </w:tabs>
        <w:ind w:left="284" w:firstLine="0"/>
        <w:jc w:val="both"/>
      </w:pPr>
      <w:bookmarkStart w:id="164" w:name="_Toc12540117"/>
      <w:bookmarkStart w:id="165" w:name="_Toc19792307"/>
      <w:bookmarkStart w:id="166" w:name="_Toc25084469"/>
      <w:bookmarkStart w:id="167" w:name="_Toc25136785"/>
      <w:bookmarkStart w:id="168" w:name="_Toc34295911"/>
      <w:r w:rsidRPr="00165E9E">
        <w:t xml:space="preserve">Vyhodnocení aktuálního </w:t>
      </w:r>
      <w:r w:rsidRPr="00704CDF">
        <w:t>stavu elektromobility v</w:t>
      </w:r>
      <w:r w:rsidR="00546698">
        <w:t> </w:t>
      </w:r>
      <w:r w:rsidRPr="00704CDF">
        <w:t>ČR a</w:t>
      </w:r>
      <w:r w:rsidR="00546698">
        <w:t> </w:t>
      </w:r>
      <w:r w:rsidRPr="00704CDF">
        <w:t>plnění cílů a</w:t>
      </w:r>
      <w:r w:rsidR="00546698">
        <w:t> </w:t>
      </w:r>
      <w:r w:rsidRPr="00704CDF">
        <w:t>opatření NAP CM</w:t>
      </w:r>
      <w:bookmarkEnd w:id="164"/>
      <w:bookmarkEnd w:id="165"/>
      <w:bookmarkEnd w:id="166"/>
      <w:bookmarkEnd w:id="167"/>
      <w:bookmarkEnd w:id="168"/>
    </w:p>
    <w:p w14:paraId="23AC7D14" w14:textId="77777777" w:rsidR="001B4719" w:rsidRPr="006E5733" w:rsidRDefault="001B4719" w:rsidP="001B4719">
      <w:pPr>
        <w:pStyle w:val="Nadpis4"/>
        <w:numPr>
          <w:ilvl w:val="3"/>
          <w:numId w:val="9"/>
        </w:numPr>
        <w:jc w:val="both"/>
      </w:pPr>
      <w:bookmarkStart w:id="169" w:name="_Toc12540118"/>
      <w:bookmarkStart w:id="170" w:name="_Toc19792308"/>
      <w:bookmarkStart w:id="171" w:name="_Toc25136786"/>
      <w:bookmarkStart w:id="172" w:name="_Toc34295912"/>
      <w:r w:rsidRPr="006E5733">
        <w:t>Vyhodnocení současného vývoje na trhu elektromobil</w:t>
      </w:r>
      <w:r>
        <w:t>ity v</w:t>
      </w:r>
      <w:r w:rsidR="00546698">
        <w:t> </w:t>
      </w:r>
      <w:r>
        <w:t>Č</w:t>
      </w:r>
      <w:r w:rsidRPr="006E5733">
        <w:t>R</w:t>
      </w:r>
      <w:bookmarkEnd w:id="169"/>
      <w:bookmarkEnd w:id="170"/>
      <w:bookmarkEnd w:id="171"/>
      <w:bookmarkEnd w:id="172"/>
    </w:p>
    <w:p w14:paraId="2B4722F0" w14:textId="77777777" w:rsidR="001B4719" w:rsidRPr="00D41EAB" w:rsidRDefault="001B4719" w:rsidP="001B4719">
      <w:pPr>
        <w:jc w:val="both"/>
        <w:rPr>
          <w:b/>
          <w:u w:val="single"/>
        </w:rPr>
      </w:pPr>
      <w:bookmarkStart w:id="173" w:name="_Toc12540119"/>
      <w:r w:rsidRPr="00D41EAB">
        <w:rPr>
          <w:b/>
          <w:u w:val="single"/>
        </w:rPr>
        <w:t>Vozidla</w:t>
      </w:r>
      <w:bookmarkEnd w:id="173"/>
    </w:p>
    <w:p w14:paraId="63140D47" w14:textId="77777777" w:rsidR="001B4719" w:rsidRDefault="001B4719" w:rsidP="001B4719">
      <w:pPr>
        <w:jc w:val="both"/>
      </w:pPr>
      <w:r>
        <w:t>Původní NAP CM vycházel z</w:t>
      </w:r>
      <w:r w:rsidR="00546698">
        <w:t> </w:t>
      </w:r>
      <w:r>
        <w:t>predikce, podle níž by v</w:t>
      </w:r>
      <w:r w:rsidR="00546698">
        <w:t> </w:t>
      </w:r>
      <w:r>
        <w:t>roce 2020 mělo být na českých silnicích v</w:t>
      </w:r>
      <w:r w:rsidR="00546698">
        <w:t> </w:t>
      </w:r>
      <w:r>
        <w:t>provozu celkově 6 tis. bateriových elektromobilů (BEV) a</w:t>
      </w:r>
      <w:r w:rsidR="00546698">
        <w:t> </w:t>
      </w:r>
      <w:r>
        <w:t xml:space="preserve">dále 11 tis. plug-in hybridů (PHEV). </w:t>
      </w:r>
      <w:r w:rsidRPr="00011C0F">
        <w:t>Z</w:t>
      </w:r>
      <w:r w:rsidR="00546698">
        <w:t> </w:t>
      </w:r>
      <w:r w:rsidRPr="00011C0F">
        <w:t>aktuálních statistik nicméně vyplývá, že reálný vývoj se v</w:t>
      </w:r>
      <w:r w:rsidR="00546698">
        <w:t> </w:t>
      </w:r>
      <w:r w:rsidRPr="00011C0F">
        <w:t>ČR na poli elektromobility oproti této predikci poněkud opo</w:t>
      </w:r>
      <w:r>
        <w:t>žďuje</w:t>
      </w:r>
      <w:r w:rsidRPr="00011C0F">
        <w:t xml:space="preserve">. </w:t>
      </w:r>
    </w:p>
    <w:p w14:paraId="134E508F" w14:textId="39E6BADA" w:rsidR="001B4719" w:rsidRDefault="001B4719" w:rsidP="001B4719">
      <w:pPr>
        <w:jc w:val="both"/>
      </w:pPr>
      <w:r w:rsidRPr="00011C0F">
        <w:t>Z přehledu Centra dopravního výzkumu (CDV) zpracovaného pro Ministerstvo dopravy vyplývá, že v</w:t>
      </w:r>
      <w:r w:rsidR="00546698">
        <w:t> </w:t>
      </w:r>
      <w:r w:rsidRPr="00011C0F">
        <w:t>ČR bylo k</w:t>
      </w:r>
      <w:r w:rsidR="00546698">
        <w:t> </w:t>
      </w:r>
      <w:r>
        <w:t>30.</w:t>
      </w:r>
      <w:r w:rsidR="00276F69">
        <w:t xml:space="preserve"> </w:t>
      </w:r>
      <w:r>
        <w:t>6</w:t>
      </w:r>
      <w:r w:rsidR="00B20629">
        <w:t>.</w:t>
      </w:r>
      <w:r w:rsidR="00276F69">
        <w:t xml:space="preserve"> </w:t>
      </w:r>
      <w:r>
        <w:t>2019</w:t>
      </w:r>
      <w:r w:rsidRPr="00011C0F">
        <w:t xml:space="preserve"> registrováno jen </w:t>
      </w:r>
      <w:r>
        <w:t>6 303</w:t>
      </w:r>
      <w:r w:rsidRPr="00011C0F">
        <w:t xml:space="preserve"> bateriových elektrických vozidel</w:t>
      </w:r>
      <w:r>
        <w:t>, z</w:t>
      </w:r>
      <w:r w:rsidR="00546698">
        <w:t> </w:t>
      </w:r>
      <w:r>
        <w:t>nichž ovšem 2 906 vozidel tvoří vozidla kategorie L</w:t>
      </w:r>
      <w:r w:rsidR="00546698">
        <w:t> </w:t>
      </w:r>
      <w:r>
        <w:t>(motocykly a</w:t>
      </w:r>
      <w:r w:rsidR="00546698">
        <w:t> </w:t>
      </w:r>
      <w:r>
        <w:t>mopedy včetně lehkých čtyřkolek), která nebyla zahrnuta do výše uvedené predikce NAP CM. Pokud bychom tedy počítali pouze s</w:t>
      </w:r>
      <w:r w:rsidR="00546698">
        <w:t> </w:t>
      </w:r>
      <w:r>
        <w:t>vozidly v</w:t>
      </w:r>
      <w:r w:rsidR="00546698">
        <w:t> </w:t>
      </w:r>
      <w:r>
        <w:t>kategoriích M</w:t>
      </w:r>
      <w:r w:rsidR="00546698">
        <w:t> </w:t>
      </w:r>
      <w:r>
        <w:t>a N</w:t>
      </w:r>
      <w:r w:rsidR="00546698">
        <w:t> </w:t>
      </w:r>
      <w:r>
        <w:t>(osobní a</w:t>
      </w:r>
      <w:r w:rsidR="00546698">
        <w:t> </w:t>
      </w:r>
      <w:r>
        <w:t>nákladní motorová vozidla) pak podle výše uvedených údajů bylo v</w:t>
      </w:r>
      <w:r w:rsidR="00546698">
        <w:t> </w:t>
      </w:r>
      <w:r>
        <w:t>ČR k</w:t>
      </w:r>
      <w:r w:rsidR="00546698">
        <w:t> </w:t>
      </w:r>
      <w:r>
        <w:t>březnu 2019 registrováno jen 3 373 bateriových elektrických vozidel. Přesto lze hovořit o</w:t>
      </w:r>
      <w:r w:rsidR="00546698">
        <w:t> </w:t>
      </w:r>
      <w:r>
        <w:t>jasném růstovém trendu, o</w:t>
      </w:r>
      <w:r w:rsidR="00546698">
        <w:t> </w:t>
      </w:r>
      <w:r>
        <w:t>čem svědčí nárůst počtu BEV za rok 2018 o</w:t>
      </w:r>
      <w:r w:rsidR="00546698">
        <w:t> </w:t>
      </w:r>
      <w:r>
        <w:t>1 247 vozidel, zatímco v</w:t>
      </w:r>
      <w:r w:rsidR="00546698">
        <w:t> </w:t>
      </w:r>
      <w:r>
        <w:t>předchozích letech se roční přírůstek BEV pohyboval cca mezi 500 a</w:t>
      </w:r>
      <w:r w:rsidR="00546698">
        <w:t> </w:t>
      </w:r>
      <w:r>
        <w:t xml:space="preserve">710 vozidly. </w:t>
      </w:r>
    </w:p>
    <w:p w14:paraId="3E7549C7" w14:textId="77777777" w:rsidR="001B4719" w:rsidRDefault="001B4719" w:rsidP="001B4719">
      <w:pPr>
        <w:jc w:val="both"/>
      </w:pPr>
      <w:r>
        <w:t>Letos tento trend pokračuje, když jen za prvních 6 měsíců přibylo na českých silnicích 882 elektrických vozidel. Zajímavý je i</w:t>
      </w:r>
      <w:r w:rsidR="00546698">
        <w:t> </w:t>
      </w:r>
      <w:r>
        <w:t>fakt, že se začíná rozvíjet tzv. sekundární trh elektrických vozidel (vozidla s</w:t>
      </w:r>
      <w:r w:rsidR="00546698">
        <w:t> </w:t>
      </w:r>
      <w:r>
        <w:t>rozdílem roku registrace a</w:t>
      </w:r>
      <w:r w:rsidR="00546698">
        <w:t> </w:t>
      </w:r>
      <w:r>
        <w:t>roku výroby vozidla ve výši 3 nebo i</w:t>
      </w:r>
      <w:r w:rsidR="00546698">
        <w:t> </w:t>
      </w:r>
      <w:r>
        <w:t>4 let). K</w:t>
      </w:r>
      <w:r w:rsidR="00546698">
        <w:t> </w:t>
      </w:r>
      <w:r>
        <w:t xml:space="preserve">30. 6. 2019 tvořil </w:t>
      </w:r>
      <w:r w:rsidRPr="001471E6">
        <w:t>s</w:t>
      </w:r>
      <w:r w:rsidRPr="001471E6">
        <w:rPr>
          <w:shd w:val="clear" w:color="auto" w:fill="FFFFFF"/>
        </w:rPr>
        <w:t>ekundární trh s</w:t>
      </w:r>
      <w:r w:rsidR="00546698">
        <w:rPr>
          <w:shd w:val="clear" w:color="auto" w:fill="FFFFFF"/>
        </w:rPr>
        <w:t> </w:t>
      </w:r>
      <w:r w:rsidRPr="001471E6">
        <w:rPr>
          <w:shd w:val="clear" w:color="auto" w:fill="FFFFFF"/>
        </w:rPr>
        <w:t>bateriovými elektrickými vozidly kategorie M1 27% podíl na všech těchto vozidlech</w:t>
      </w:r>
      <w:r>
        <w:rPr>
          <w:shd w:val="clear" w:color="auto" w:fill="FFFFFF"/>
        </w:rPr>
        <w:t>, což je jen o</w:t>
      </w:r>
      <w:r w:rsidR="00546698">
        <w:rPr>
          <w:shd w:val="clear" w:color="auto" w:fill="FFFFFF"/>
        </w:rPr>
        <w:t> </w:t>
      </w:r>
      <w:r>
        <w:rPr>
          <w:shd w:val="clear" w:color="auto" w:fill="FFFFFF"/>
        </w:rPr>
        <w:t>něco menší podíl než vozidel na jiná alternativní paliva (např. u</w:t>
      </w:r>
      <w:r w:rsidR="00546698">
        <w:rPr>
          <w:shd w:val="clear" w:color="auto" w:fill="FFFFFF"/>
        </w:rPr>
        <w:t> </w:t>
      </w:r>
      <w:r>
        <w:rPr>
          <w:shd w:val="clear" w:color="auto" w:fill="FFFFFF"/>
        </w:rPr>
        <w:t>CNG jde o</w:t>
      </w:r>
      <w:r w:rsidR="00546698">
        <w:rPr>
          <w:shd w:val="clear" w:color="auto" w:fill="FFFFFF"/>
        </w:rPr>
        <w:t> </w:t>
      </w:r>
      <w:r>
        <w:rPr>
          <w:shd w:val="clear" w:color="auto" w:fill="FFFFFF"/>
        </w:rPr>
        <w:t>podíl 31%)</w:t>
      </w:r>
      <w:r w:rsidRPr="001471E6">
        <w:rPr>
          <w:shd w:val="clear" w:color="auto" w:fill="FFFFFF"/>
        </w:rPr>
        <w:t>.</w:t>
      </w:r>
    </w:p>
    <w:p w14:paraId="349C2A3D" w14:textId="77777777" w:rsidR="001B4719" w:rsidRDefault="001B4719" w:rsidP="001B4719">
      <w:pPr>
        <w:jc w:val="both"/>
      </w:pPr>
      <w:r w:rsidRPr="00011C0F">
        <w:t>Počet plug-in hybridních vozidel je na základě historického podílu tohoto typu vozidel na registracích hybridních vozidel odhadován na úrovni c</w:t>
      </w:r>
      <w:r>
        <w:t>c</w:t>
      </w:r>
      <w:r w:rsidRPr="00011C0F">
        <w:t xml:space="preserve">a 1400 vozidel. </w:t>
      </w:r>
      <w:r>
        <w:t>Ani vývoj v</w:t>
      </w:r>
      <w:r w:rsidR="00546698">
        <w:t> </w:t>
      </w:r>
      <w:r>
        <w:t>posledních dvou letech, kdy registrace nových plug-in hybridů v</w:t>
      </w:r>
      <w:r w:rsidR="00546698">
        <w:t> </w:t>
      </w:r>
      <w:r>
        <w:t>zásadě stagnovala (tj. jejich počet za stejné období byl letos jen o</w:t>
      </w:r>
      <w:r w:rsidR="00546698">
        <w:t> </w:t>
      </w:r>
      <w:r>
        <w:t>2 vozidla vyšší a</w:t>
      </w:r>
      <w:r w:rsidR="00546698">
        <w:t> </w:t>
      </w:r>
      <w:r>
        <w:t xml:space="preserve">pohyboval se vždy řádově na úrovni 200 vozidel) tak nikterak </w:t>
      </w:r>
      <w:r w:rsidRPr="00011C0F">
        <w:t>nepotvrdil původní předpoklad predikce, že trh PHEV bude růst rychleji než trh BEV, což může být z</w:t>
      </w:r>
      <w:r w:rsidR="00546698">
        <w:t> </w:t>
      </w:r>
      <w:r w:rsidRPr="00011C0F">
        <w:t>velké části dáno omezenou nabídkou P</w:t>
      </w:r>
      <w:r>
        <w:t>H</w:t>
      </w:r>
      <w:r w:rsidRPr="00011C0F">
        <w:t>EV na trhu i</w:t>
      </w:r>
      <w:r w:rsidR="00546698">
        <w:t> </w:t>
      </w:r>
      <w:r w:rsidRPr="00011C0F">
        <w:t>tím, že dotační programy se více zaměřily na BEV.</w:t>
      </w:r>
    </w:p>
    <w:p w14:paraId="660D42EB" w14:textId="77777777" w:rsidR="001B4719" w:rsidRDefault="001B4719" w:rsidP="001B4719">
      <w:pPr>
        <w:jc w:val="both"/>
        <w:rPr>
          <w:rFonts w:eastAsiaTheme="minorEastAsia"/>
        </w:rPr>
      </w:pPr>
      <w:r>
        <w:rPr>
          <w:rFonts w:eastAsiaTheme="minorEastAsia"/>
        </w:rPr>
        <w:t>V současné době je ve vozovém parku v</w:t>
      </w:r>
      <w:r w:rsidR="00546698">
        <w:rPr>
          <w:rFonts w:eastAsiaTheme="minorEastAsia"/>
        </w:rPr>
        <w:t> </w:t>
      </w:r>
      <w:r>
        <w:rPr>
          <w:rFonts w:eastAsiaTheme="minorEastAsia"/>
        </w:rPr>
        <w:t>ČR též 88 elektrických autobusů (89, včetně 1 hybridu registrovaného v</w:t>
      </w:r>
      <w:r w:rsidR="00546698">
        <w:rPr>
          <w:rFonts w:eastAsiaTheme="minorEastAsia"/>
        </w:rPr>
        <w:t> </w:t>
      </w:r>
      <w:r>
        <w:rPr>
          <w:rFonts w:eastAsiaTheme="minorEastAsia"/>
        </w:rPr>
        <w:t>roce 2017)</w:t>
      </w:r>
      <w:r>
        <w:rPr>
          <w:rStyle w:val="Znakapoznpodarou"/>
          <w:rFonts w:eastAsiaTheme="minorEastAsia"/>
        </w:rPr>
        <w:footnoteReference w:id="3"/>
      </w:r>
      <w:r>
        <w:rPr>
          <w:rFonts w:eastAsiaTheme="minorEastAsia"/>
        </w:rPr>
        <w:t xml:space="preserve"> z</w:t>
      </w:r>
      <w:r w:rsidR="00546698">
        <w:rPr>
          <w:rFonts w:eastAsiaTheme="minorEastAsia"/>
        </w:rPr>
        <w:t> </w:t>
      </w:r>
      <w:r>
        <w:rPr>
          <w:rFonts w:eastAsiaTheme="minorEastAsia"/>
        </w:rPr>
        <w:t>celkového počtu cca 21,4 tisíce kusů. V</w:t>
      </w:r>
      <w:r w:rsidR="00546698">
        <w:rPr>
          <w:rFonts w:eastAsiaTheme="minorEastAsia"/>
        </w:rPr>
        <w:t> </w:t>
      </w:r>
      <w:r>
        <w:rPr>
          <w:rFonts w:eastAsiaTheme="minorEastAsia"/>
        </w:rPr>
        <w:t>průměru je každý rok registrováno v</w:t>
      </w:r>
      <w:r w:rsidR="00546698">
        <w:rPr>
          <w:rFonts w:eastAsiaTheme="minorEastAsia"/>
        </w:rPr>
        <w:t> </w:t>
      </w:r>
      <w:r>
        <w:rPr>
          <w:rFonts w:eastAsiaTheme="minorEastAsia"/>
        </w:rPr>
        <w:t>ČR cca 960 ks autobusů, z</w:t>
      </w:r>
      <w:r w:rsidR="00546698">
        <w:rPr>
          <w:rFonts w:eastAsiaTheme="minorEastAsia"/>
        </w:rPr>
        <w:t> </w:t>
      </w:r>
      <w:r>
        <w:rPr>
          <w:rFonts w:eastAsiaTheme="minorEastAsia"/>
        </w:rPr>
        <w:t>nich největší potenciál pro elektrifikaci, alespoň v</w:t>
      </w:r>
      <w:r w:rsidR="00546698">
        <w:rPr>
          <w:rFonts w:eastAsiaTheme="minorEastAsia"/>
        </w:rPr>
        <w:t> </w:t>
      </w:r>
      <w:r>
        <w:rPr>
          <w:rFonts w:eastAsiaTheme="minorEastAsia"/>
        </w:rPr>
        <w:t>následujících letech, mají městské autobusy a</w:t>
      </w:r>
      <w:r w:rsidR="00546698">
        <w:rPr>
          <w:rFonts w:eastAsiaTheme="minorEastAsia"/>
        </w:rPr>
        <w:t> </w:t>
      </w:r>
      <w:r>
        <w:rPr>
          <w:rFonts w:eastAsiaTheme="minorEastAsia"/>
        </w:rPr>
        <w:t>o něco menší potenciál mají meziměstské autobusy. Městských autobusů je registrováno každý rok asi 300 ks, linkových asi 430 ks.</w:t>
      </w:r>
    </w:p>
    <w:p w14:paraId="25CD2CA1" w14:textId="77777777" w:rsidR="001B4719" w:rsidRDefault="001B4719" w:rsidP="001B4719">
      <w:pPr>
        <w:jc w:val="both"/>
      </w:pPr>
      <w:r>
        <w:t>Systémy MHD mají druhý největší podíl na přepravním výkonu v</w:t>
      </w:r>
      <w:r w:rsidR="00546698">
        <w:t> </w:t>
      </w:r>
      <w:r>
        <w:t>ČR po individuální osobní dopravě, dvojnásobný oproti osobní železniční dopravě, přičemž dvě třetiny výkonu jsou již dnes zajišťovány elektricky. Z</w:t>
      </w:r>
      <w:r w:rsidR="00546698">
        <w:t> </w:t>
      </w:r>
      <w:r>
        <w:t>tohoto pohledu je MHD z</w:t>
      </w:r>
      <w:r w:rsidR="00546698">
        <w:t> </w:t>
      </w:r>
      <w:r>
        <w:t>hlediska její funkce i</w:t>
      </w:r>
      <w:r w:rsidR="00546698">
        <w:t> </w:t>
      </w:r>
      <w:r>
        <w:t>využití technologií nejčistším módem dopravy v</w:t>
      </w:r>
      <w:r w:rsidR="00546698">
        <w:t> </w:t>
      </w:r>
      <w:r>
        <w:t>ČR vůbec. MHD také tvoří segment dopravy s</w:t>
      </w:r>
      <w:r w:rsidR="00546698">
        <w:t> </w:t>
      </w:r>
      <w:r>
        <w:t>největším potenciálem rozvoje elektromobility vůbec, což je dáno nejen intenzitou a</w:t>
      </w:r>
      <w:r w:rsidR="00546698">
        <w:t> </w:t>
      </w:r>
      <w:r>
        <w:t>soustředěností městského provozu, ale také existující energetickou infrastrukturou a</w:t>
      </w:r>
      <w:r w:rsidR="00546698">
        <w:t> </w:t>
      </w:r>
      <w:r>
        <w:t>kompetencí provozovatelů v</w:t>
      </w:r>
      <w:r w:rsidR="00546698">
        <w:t> </w:t>
      </w:r>
      <w:r>
        <w:t>oblasti elektrických pohonů.</w:t>
      </w:r>
    </w:p>
    <w:p w14:paraId="4B35EE9C" w14:textId="77777777" w:rsidR="001B4719" w:rsidRDefault="001B4719" w:rsidP="001B4719">
      <w:pPr>
        <w:jc w:val="both"/>
      </w:pPr>
      <w:r>
        <w:t>V rámci elektrických nekolejových vozidel veřejné dopravy jsou nejčastěji provozovány trolejbusy (768 ks, z</w:t>
      </w:r>
      <w:r w:rsidR="00546698">
        <w:t> </w:t>
      </w:r>
      <w:r>
        <w:t>toho 84 ks bateriových s</w:t>
      </w:r>
      <w:r w:rsidR="00546698">
        <w:t> </w:t>
      </w:r>
      <w:r>
        <w:t>dynamickým dobíjením) a</w:t>
      </w:r>
      <w:r w:rsidR="00546698">
        <w:t> </w:t>
      </w:r>
      <w:r>
        <w:t>městské elektrobusy (88 ks, z</w:t>
      </w:r>
      <w:r w:rsidR="00546698">
        <w:t> </w:t>
      </w:r>
      <w:r>
        <w:t xml:space="preserve">toho 45 </w:t>
      </w:r>
      <w:r>
        <w:lastRenderedPageBreak/>
        <w:t>ks v</w:t>
      </w:r>
      <w:r w:rsidR="00546698">
        <w:t> </w:t>
      </w:r>
      <w:r>
        <w:t>krajských městech). V</w:t>
      </w:r>
      <w:r w:rsidR="00546698">
        <w:t> </w:t>
      </w:r>
      <w:r>
        <w:t>případě bateriových trolejbusů se jedná o</w:t>
      </w:r>
      <w:r w:rsidR="00546698">
        <w:t> </w:t>
      </w:r>
      <w:r>
        <w:t>standardní i</w:t>
      </w:r>
      <w:r w:rsidR="00546698">
        <w:t> </w:t>
      </w:r>
      <w:r>
        <w:t xml:space="preserve">velkokapacitní vozidla, elektrobusy jsou pořizovány jen ve standardním nebo </w:t>
      </w:r>
      <w:r w:rsidRPr="00BD293D">
        <w:t>midi</w:t>
      </w:r>
      <w:r>
        <w:t xml:space="preserve"> provedení. Zatímco u</w:t>
      </w:r>
      <w:r w:rsidR="00546698">
        <w:t> </w:t>
      </w:r>
      <w:r>
        <w:t>trolejbusů je kombinováno dynamické a</w:t>
      </w:r>
      <w:r w:rsidR="00546698">
        <w:t> </w:t>
      </w:r>
      <w:r>
        <w:t>statické dvoupólové dobíjení, elektrobusy jsou dobíjeny staticky různými technologiemi: dvoupólově (zejména města s</w:t>
      </w:r>
      <w:r w:rsidR="00546698">
        <w:t> </w:t>
      </w:r>
      <w:r>
        <w:t>existující drážní MHD), čtyř a</w:t>
      </w:r>
      <w:r w:rsidR="00546698">
        <w:t> </w:t>
      </w:r>
      <w:r>
        <w:t>vícepólově (systém pantograf na vozidle nebo obrácený pantograf na dobíjecí stanici) nebo kabelovým připojením (zejména ve vozovně). Množství provozovaných variant elektrických busů vychází z</w:t>
      </w:r>
      <w:r w:rsidR="00546698">
        <w:t> </w:t>
      </w:r>
      <w:r>
        <w:t>faktu, že neexistuje jedno univerzální řešení pro všechny typy městských linek, omezujícím parametrem je nejen dostupnost infrastruktury, ale i</w:t>
      </w:r>
      <w:r w:rsidR="00546698">
        <w:t> </w:t>
      </w:r>
      <w:r>
        <w:t>parametry a</w:t>
      </w:r>
      <w:r w:rsidR="00546698">
        <w:t> </w:t>
      </w:r>
      <w:r>
        <w:t>dojezd vozidel. Proto podstatná část pořizovaných elektrobusů využívá naftové topení, u</w:t>
      </w:r>
      <w:r w:rsidR="00546698">
        <w:t> </w:t>
      </w:r>
      <w:r>
        <w:t>nějž nejsou zachytávány emise škodlivin, a</w:t>
      </w:r>
      <w:r w:rsidR="00546698">
        <w:t> </w:t>
      </w:r>
      <w:r>
        <w:t>v zimním období vykazuje značnou spotřebu (i přes 20 l/100 km v</w:t>
      </w:r>
      <w:r w:rsidR="00546698">
        <w:t> </w:t>
      </w:r>
      <w:r>
        <w:t>městském provozu). Elektrobusy s</w:t>
      </w:r>
      <w:r w:rsidR="00546698">
        <w:t> </w:t>
      </w:r>
      <w:r>
        <w:t>naftovým topením však tedy nesplňují požadavky na bezemisní vozidlo dle novely směrnice 2009/33/ES.</w:t>
      </w:r>
    </w:p>
    <w:p w14:paraId="6F0FB381" w14:textId="77777777" w:rsidR="001B4719" w:rsidRDefault="001B4719" w:rsidP="001B4719">
      <w:pPr>
        <w:jc w:val="both"/>
      </w:pPr>
      <w:r>
        <w:t>Hybridní diesel-elektrické autobusy jsou na rozdíl od jiných evropských zemí v</w:t>
      </w:r>
      <w:r w:rsidR="00546698">
        <w:t> </w:t>
      </w:r>
      <w:r>
        <w:t>české MHD doposud jen ve fázi testování. Důvodem je zejména absence dotací pro tento druh pohonu. Potenciál využití minimálně jako přechodného řešení ukazují výsledky testování potvrzující úsporu paliva a</w:t>
      </w:r>
      <w:r w:rsidR="00546698">
        <w:t> </w:t>
      </w:r>
      <w:r>
        <w:t>úměrně také emisí CO</w:t>
      </w:r>
      <w:r w:rsidRPr="00FD7A23">
        <w:rPr>
          <w:vertAlign w:val="subscript"/>
        </w:rPr>
        <w:t>2</w:t>
      </w:r>
      <w:r>
        <w:t xml:space="preserve"> až o</w:t>
      </w:r>
      <w:r w:rsidR="00546698">
        <w:t> </w:t>
      </w:r>
      <w:r>
        <w:t>25</w:t>
      </w:r>
      <w:r w:rsidR="00B20629">
        <w:t xml:space="preserve"> </w:t>
      </w:r>
      <w:r>
        <w:t>% oproti běžnému naftovému autobusu. Varianta dobíjecích hybridů (plug-in) může dosáhnout úspory CO</w:t>
      </w:r>
      <w:r w:rsidRPr="00FD7A23">
        <w:rPr>
          <w:vertAlign w:val="subscript"/>
        </w:rPr>
        <w:t>2</w:t>
      </w:r>
      <w:r>
        <w:t xml:space="preserve"> až 70%.</w:t>
      </w:r>
    </w:p>
    <w:p w14:paraId="48665E17" w14:textId="77777777" w:rsidR="001B4719" w:rsidRPr="00D41EAB" w:rsidRDefault="001B4719" w:rsidP="001B4719">
      <w:pPr>
        <w:jc w:val="both"/>
        <w:rPr>
          <w:b/>
          <w:u w:val="single"/>
        </w:rPr>
      </w:pPr>
      <w:bookmarkStart w:id="174" w:name="_Toc12540120"/>
      <w:r w:rsidRPr="00D41EAB">
        <w:rPr>
          <w:b/>
          <w:u w:val="single"/>
        </w:rPr>
        <w:t>Dobíjecí infrastruktura</w:t>
      </w:r>
      <w:bookmarkEnd w:id="174"/>
    </w:p>
    <w:p w14:paraId="1A346682" w14:textId="77777777" w:rsidR="001B4719" w:rsidRDefault="001B4719" w:rsidP="001B4719">
      <w:pPr>
        <w:jc w:val="both"/>
      </w:pPr>
      <w:r>
        <w:t>Původní NAP CM stanovil rovněž specifický cíl ve vztahu k</w:t>
      </w:r>
      <w:r w:rsidR="00546698">
        <w:t> </w:t>
      </w:r>
      <w:r>
        <w:t>veřejné dobíjecí infrastruktuře a</w:t>
      </w:r>
      <w:r w:rsidR="00546698">
        <w:t> </w:t>
      </w:r>
      <w:r>
        <w:t>to ve vazbě na požadavky směrnice 2014/94/EU. Podle tohoto dokumentu by v</w:t>
      </w:r>
      <w:r w:rsidR="00546698">
        <w:t> </w:t>
      </w:r>
      <w:r>
        <w:t>ČR do konce roku 2020 mělo být 1300 dobíjecích bodů z</w:t>
      </w:r>
      <w:r w:rsidR="00546698">
        <w:t> </w:t>
      </w:r>
      <w:r>
        <w:t xml:space="preserve">toho 500 rychlodobíjecích. </w:t>
      </w:r>
    </w:p>
    <w:p w14:paraId="674D4E02" w14:textId="77777777" w:rsidR="001B4719" w:rsidRPr="00EB34BD" w:rsidRDefault="001B4719" w:rsidP="001B4719">
      <w:pPr>
        <w:jc w:val="both"/>
        <w:rPr>
          <w:u w:val="single"/>
        </w:rPr>
      </w:pPr>
      <w:r w:rsidRPr="00EB34BD">
        <w:rPr>
          <w:u w:val="single"/>
        </w:rPr>
        <w:t xml:space="preserve">Aktuální stav rozvoje dobíjecí infrastruktury </w:t>
      </w:r>
    </w:p>
    <w:p w14:paraId="1BB69931" w14:textId="77777777" w:rsidR="001B4719" w:rsidRDefault="001B4719" w:rsidP="001B4719">
      <w:pPr>
        <w:jc w:val="both"/>
      </w:pPr>
      <w:r>
        <w:t>Současná situace ohledně rozsahu dobíjecí infrastruktury v</w:t>
      </w:r>
      <w:r w:rsidR="00546698">
        <w:t> </w:t>
      </w:r>
      <w:r>
        <w:t xml:space="preserve">ČR je poněkud nepřehledná. </w:t>
      </w:r>
    </w:p>
    <w:p w14:paraId="471FA6F2" w14:textId="77777777" w:rsidR="001B4719" w:rsidRDefault="001B4719" w:rsidP="001B4719">
      <w:pPr>
        <w:jc w:val="both"/>
      </w:pPr>
      <w:r w:rsidRPr="00011C0F">
        <w:t>Důvodem je nejednotná metodika sběru statistických dat a</w:t>
      </w:r>
      <w:r w:rsidR="00546698">
        <w:t> </w:t>
      </w:r>
      <w:r w:rsidRPr="00011C0F">
        <w:t>definici klíčových pojmů o</w:t>
      </w:r>
      <w:r w:rsidR="00546698">
        <w:t> </w:t>
      </w:r>
      <w:r w:rsidRPr="00011C0F">
        <w:t>dobíjecí infrastruktuře, kdy výchozím zdrojem informací o</w:t>
      </w:r>
      <w:r w:rsidR="00546698">
        <w:t> </w:t>
      </w:r>
      <w:r w:rsidRPr="00011C0F">
        <w:t>dobíjecí infrastruktuře by měla být povinnost provozovatelů dobíjecí infrastruktury poskytnout informace o</w:t>
      </w:r>
      <w:r w:rsidR="00546698">
        <w:t> </w:t>
      </w:r>
      <w:r w:rsidRPr="00011C0F">
        <w:t>dobíjecí stanici Ministerstvu průmyslu a</w:t>
      </w:r>
      <w:r w:rsidR="00546698">
        <w:t> </w:t>
      </w:r>
      <w:r w:rsidRPr="00011C0F">
        <w:t>obchodu (MPO), vyplývající ze zákona č. 311/2006. Informace o</w:t>
      </w:r>
      <w:r w:rsidR="00546698">
        <w:t> </w:t>
      </w:r>
      <w:r w:rsidRPr="00011C0F">
        <w:t>dobíjecích stanicích se ale objevují i</w:t>
      </w:r>
      <w:r w:rsidR="00546698">
        <w:t> </w:t>
      </w:r>
      <w:r w:rsidRPr="00011C0F">
        <w:t>v</w:t>
      </w:r>
      <w:r>
        <w:t> </w:t>
      </w:r>
      <w:r w:rsidRPr="00011C0F">
        <w:t>dalších neoficiálních statistikách (vedených často profesními organizacemi) a</w:t>
      </w:r>
      <w:r w:rsidR="00546698">
        <w:t> </w:t>
      </w:r>
      <w:r w:rsidRPr="00011C0F">
        <w:t>údaje tak nejsou navzájem kompatibilní.</w:t>
      </w:r>
    </w:p>
    <w:p w14:paraId="245469F5" w14:textId="77777777" w:rsidR="001B4719" w:rsidRDefault="001B4719" w:rsidP="001B4719">
      <w:pPr>
        <w:jc w:val="both"/>
      </w:pPr>
      <w:r>
        <w:t>Žádoucí stav je samozřejmě takový, že v</w:t>
      </w:r>
      <w:r w:rsidR="00546698">
        <w:t> </w:t>
      </w:r>
      <w:r>
        <w:t>oficiální evidenci MPO by měly být všechny dobíjecí stanice provozované ve veřejně přístupném režimu.</w:t>
      </w:r>
    </w:p>
    <w:p w14:paraId="55719FE3" w14:textId="77777777" w:rsidR="001B4719" w:rsidRDefault="001B4719" w:rsidP="001B4719">
      <w:pPr>
        <w:jc w:val="both"/>
      </w:pPr>
      <w:r>
        <w:t>Pokud tedy podle oficiální statistiky MPO bylo v</w:t>
      </w:r>
      <w:r w:rsidR="00546698">
        <w:t> </w:t>
      </w:r>
      <w:r>
        <w:t>ČR ke dni 30. 3. 2019 celkem 238 dobíjecích stanic (ve smyslu lokalit, kde je možné dobíjet), u</w:t>
      </w:r>
      <w:r w:rsidR="00546698">
        <w:t> </w:t>
      </w:r>
      <w:r>
        <w:t>kterých je k</w:t>
      </w:r>
      <w:r w:rsidR="00546698">
        <w:t> </w:t>
      </w:r>
      <w:r>
        <w:t>dispozici 492 dobíjecích bodů, statistika EAFO uvádí v</w:t>
      </w:r>
      <w:r w:rsidR="00546698">
        <w:t> </w:t>
      </w:r>
      <w:r>
        <w:t>ČR k</w:t>
      </w:r>
      <w:r w:rsidR="00546698">
        <w:t> </w:t>
      </w:r>
      <w:r>
        <w:t>1. 1. 2019 820 dobíjecích bodů.</w:t>
      </w:r>
    </w:p>
    <w:p w14:paraId="030FB70A" w14:textId="77777777" w:rsidR="001B4719" w:rsidRPr="00FD7A23" w:rsidRDefault="001B4719" w:rsidP="001B4719">
      <w:pPr>
        <w:jc w:val="both"/>
        <w:rPr>
          <w:u w:val="single"/>
        </w:rPr>
      </w:pPr>
      <w:r w:rsidRPr="00FD7A23">
        <w:rPr>
          <w:u w:val="single"/>
        </w:rPr>
        <w:t xml:space="preserve">Systémy </w:t>
      </w:r>
      <w:r>
        <w:rPr>
          <w:u w:val="single"/>
        </w:rPr>
        <w:t>do</w:t>
      </w:r>
      <w:r w:rsidRPr="00FD7A23">
        <w:rPr>
          <w:u w:val="single"/>
        </w:rPr>
        <w:t>bíjení elektrické nekolejové MHD</w:t>
      </w:r>
    </w:p>
    <w:p w14:paraId="0CED9982" w14:textId="77777777" w:rsidR="001B4719" w:rsidRDefault="001B4719" w:rsidP="001B4719">
      <w:pPr>
        <w:jc w:val="both"/>
      </w:pPr>
      <w:r>
        <w:t>Nejjednodušším systémem je statické dobíjení z</w:t>
      </w:r>
      <w:r w:rsidR="00546698">
        <w:t> </w:t>
      </w:r>
      <w:r>
        <w:t>veřejné distribuční sítě nízkého napětí a</w:t>
      </w:r>
      <w:r w:rsidR="00546698">
        <w:t> </w:t>
      </w:r>
      <w:r>
        <w:t>třífázového napětí 3 x</w:t>
      </w:r>
      <w:r w:rsidR="00546698">
        <w:t> </w:t>
      </w:r>
      <w:r>
        <w:t>400 V</w:t>
      </w:r>
      <w:r w:rsidR="00546698">
        <w:t> </w:t>
      </w:r>
      <w:r>
        <w:t>AC pomocí kabelového připojení a</w:t>
      </w:r>
      <w:r w:rsidR="00546698">
        <w:t> </w:t>
      </w:r>
      <w:r>
        <w:t>standardizované zásuvky. Výhoda tohoto řešení spočívá v</w:t>
      </w:r>
      <w:r w:rsidR="00546698">
        <w:t> </w:t>
      </w:r>
      <w:r>
        <w:t>odpadnutí potřeby budovat drahou dobíjecí infrastrukturu, nevýhodou je ale poměrně nízký dobíjecí výkon pro elektrobusy. Technologie je vhodná pro menší města a</w:t>
      </w:r>
      <w:r w:rsidR="00546698">
        <w:t> </w:t>
      </w:r>
      <w:r>
        <w:t>systémy s</w:t>
      </w:r>
      <w:r w:rsidR="00546698">
        <w:t> </w:t>
      </w:r>
      <w:r>
        <w:t>nízkým denním nájezdem vozidel nebo jako kombinace s</w:t>
      </w:r>
      <w:r w:rsidR="00546698">
        <w:t> </w:t>
      </w:r>
      <w:r>
        <w:t>ostatními systémy dobíjení pro noční dobíjení a</w:t>
      </w:r>
      <w:r w:rsidR="00546698">
        <w:t> </w:t>
      </w:r>
      <w:r>
        <w:t>balancování baterií.</w:t>
      </w:r>
    </w:p>
    <w:p w14:paraId="1226BD6A" w14:textId="77777777" w:rsidR="001B4719" w:rsidRDefault="001B4719" w:rsidP="001B4719">
      <w:pPr>
        <w:jc w:val="both"/>
      </w:pPr>
      <w:r>
        <w:t>Pro MHD standardních a</w:t>
      </w:r>
      <w:r w:rsidR="00546698">
        <w:t> </w:t>
      </w:r>
      <w:r>
        <w:t>vyšších dopravních výkonů jsou vhodnější bezkabelové dobíjecí systémy. Jednou koncepcí je statické (nebo též stacionární) dvoupólové dobíjení během provozních přestávek na konečných, případně na garáži během prostoje mezi děleným výkonem a/nebo při nočním odstavu. Dvoupólové dobíjení je propojeno s</w:t>
      </w:r>
      <w:r w:rsidR="00546698">
        <w:t> </w:t>
      </w:r>
      <w:r>
        <w:t>existující drážní infrastrukturou, tj. využívá i</w:t>
      </w:r>
      <w:r w:rsidR="00546698">
        <w:t> </w:t>
      </w:r>
      <w:r>
        <w:t>přebytky energie rekuperované tramvajemi či trolejbusy. Elektrobusy se připojují pantografem k</w:t>
      </w:r>
      <w:r w:rsidR="00546698">
        <w:t> </w:t>
      </w:r>
      <w:r>
        <w:t>troleji a</w:t>
      </w:r>
      <w:r w:rsidR="00546698">
        <w:t> </w:t>
      </w:r>
      <w:r>
        <w:t>liší se způsobem zabezpečení: galvanické oddělení je zajištěno buď na dobíjecí infrastruktuře, nebo přímo ve vozidle. U</w:t>
      </w:r>
      <w:r w:rsidR="00546698">
        <w:t> </w:t>
      </w:r>
      <w:r>
        <w:t>momentálně provozovaných elektrobusů se výše dobíjecích proudů pohybuje na hodnotách 100 – 180 A</w:t>
      </w:r>
      <w:r w:rsidR="00546698">
        <w:t> </w:t>
      </w:r>
      <w:r>
        <w:t>při jmenovitém napětí 600 nebo 750 V. Výhodou je vzájemná kompatibilita s</w:t>
      </w:r>
      <w:r w:rsidR="00546698">
        <w:t> </w:t>
      </w:r>
      <w:r>
        <w:t>drážními systémy, synergie v</w:t>
      </w:r>
      <w:r w:rsidR="00B20629">
        <w:t> </w:t>
      </w:r>
      <w:r>
        <w:t>termi</w:t>
      </w:r>
      <w:r w:rsidR="00B20629">
        <w:t>nálech,</w:t>
      </w:r>
      <w:r w:rsidR="00546698">
        <w:t> </w:t>
      </w:r>
      <w:r>
        <w:t>vozovnách a</w:t>
      </w:r>
      <w:r w:rsidR="00546698">
        <w:t> </w:t>
      </w:r>
      <w:r>
        <w:t xml:space="preserve">sdružení </w:t>
      </w:r>
      <w:r>
        <w:lastRenderedPageBreak/>
        <w:t>energetické soust</w:t>
      </w:r>
      <w:r w:rsidR="00B20629">
        <w:t>avy do jednoho odběrového místa. N</w:t>
      </w:r>
      <w:r>
        <w:t>evýhodou je dvojitá izolace a</w:t>
      </w:r>
      <w:r w:rsidR="00546698">
        <w:t> </w:t>
      </w:r>
      <w:r>
        <w:t>může jí být i</w:t>
      </w:r>
      <w:r w:rsidR="00546698">
        <w:t> </w:t>
      </w:r>
      <w:r>
        <w:t>limitovaný dobíjecí příkon.</w:t>
      </w:r>
    </w:p>
    <w:p w14:paraId="733D43EB" w14:textId="77777777" w:rsidR="001B4719" w:rsidRDefault="001B4719" w:rsidP="001B4719">
      <w:pPr>
        <w:jc w:val="both"/>
      </w:pPr>
      <w:r>
        <w:t>Řada měst v</w:t>
      </w:r>
      <w:r w:rsidR="00546698">
        <w:t> </w:t>
      </w:r>
      <w:r>
        <w:t>Evropské unii se rozhodla při elektrifikaci své autobusové sítě jít cestou více pólového systému (zpravidla čtyř- nebo pětipólový systém), většinou z</w:t>
      </w:r>
      <w:r w:rsidR="00546698">
        <w:t> </w:t>
      </w:r>
      <w:r>
        <w:t>důvodu absence povrchové drážní MHD. Dobíjení vozidla probíhá nejčastěji prostřednictvím pantografového sběrače buď „zdola nahoru“ vozidlovým pantografem, nebo otočeným pantografem na dobíjecím rameni. Vícepólový systém umožňuje zvýšit dobíjecí proudy, a</w:t>
      </w:r>
      <w:r w:rsidR="00546698">
        <w:t> </w:t>
      </w:r>
      <w:r>
        <w:t>tím zkrátit potřebný čas pro dobíjení vozidla. Zároveň zde odpadá nutnost dvojité izolace vozidla. Limitem je garance dostatečného rezervovaného příkonu ze strany dodavatele energie a</w:t>
      </w:r>
      <w:r w:rsidR="00546698">
        <w:t> </w:t>
      </w:r>
      <w:r>
        <w:t>tomu odpovídající výše plateb za garantovaný příkon. Omezením je nekompatibilita s</w:t>
      </w:r>
      <w:r w:rsidR="00546698">
        <w:t> </w:t>
      </w:r>
      <w:r>
        <w:t>ostatními systémy a</w:t>
      </w:r>
      <w:r w:rsidR="00546698">
        <w:t> </w:t>
      </w:r>
      <w:r>
        <w:t>závislost na přesně umístěném dobíjecím místě. Investiční příprava pro dobíjecí místo může být zdlouhavá a</w:t>
      </w:r>
      <w:r w:rsidR="00546698">
        <w:t> </w:t>
      </w:r>
      <w:r>
        <w:t>nákladná.</w:t>
      </w:r>
    </w:p>
    <w:p w14:paraId="106376B6" w14:textId="77777777" w:rsidR="001B4719" w:rsidRDefault="001B4719" w:rsidP="001B4719">
      <w:pPr>
        <w:jc w:val="both"/>
      </w:pPr>
      <w:r>
        <w:t>Další volbou je systém dynamického dobíjení neboli dobíjení za jízdy pod trolejí, který kombinuje výhody spolehlivosti trolejbusů a</w:t>
      </w:r>
      <w:r w:rsidR="00546698">
        <w:t> </w:t>
      </w:r>
      <w:r>
        <w:t>možnosti bateriového provozu, čímž lze eliminovat některé provozní nevýhody konvenčních trolejbusů (není nutno stavět složité trolejové konstrukce v</w:t>
      </w:r>
      <w:r w:rsidR="00546698">
        <w:t> </w:t>
      </w:r>
      <w:r>
        <w:t>křižovatkách, v</w:t>
      </w:r>
      <w:r w:rsidR="00546698">
        <w:t> </w:t>
      </w:r>
      <w:r>
        <w:t>garážích a</w:t>
      </w:r>
      <w:r w:rsidR="00546698">
        <w:t> </w:t>
      </w:r>
      <w:r>
        <w:t>manipulační tratě; operativnost při krátkodobých uzavírkách či mimořádných událostech). Klíčovým atributem systému dynamického dobíjení je výrazné prodloužení dojezdu vozidla, čímž lze prakticky bez omezení elektrifikovat jakkoliv dlouhou linku (přirozeně s</w:t>
      </w:r>
      <w:r w:rsidR="00546698">
        <w:t> </w:t>
      </w:r>
      <w:r>
        <w:t>ohledem na provozní ekonomiku). Trolejové vedení je potřebné v</w:t>
      </w:r>
      <w:r w:rsidR="00546698">
        <w:t> </w:t>
      </w:r>
      <w:r>
        <w:t>energeticky náročných úsecích a</w:t>
      </w:r>
      <w:r w:rsidR="00546698">
        <w:t> </w:t>
      </w:r>
      <w:r>
        <w:t>v bateriovém režimu lze zajistit provoz minimálně v</w:t>
      </w:r>
      <w:r w:rsidR="00546698">
        <w:t> </w:t>
      </w:r>
      <w:r>
        <w:t>polovině délky linky. Výhodou je menší velikost trakční baterie (lehčí a</w:t>
      </w:r>
      <w:r w:rsidR="00546698">
        <w:t> </w:t>
      </w:r>
      <w:r>
        <w:t>úspornější vozidlo), možnost využití existující drážní (tj. i</w:t>
      </w:r>
      <w:r w:rsidR="00546698">
        <w:t> </w:t>
      </w:r>
      <w:r>
        <w:t>energetické) infrastruktury a</w:t>
      </w:r>
      <w:r w:rsidR="00546698">
        <w:t> </w:t>
      </w:r>
      <w:r>
        <w:t>z provozního hlediska neomezený denní proběh i</w:t>
      </w:r>
      <w:r w:rsidR="00546698">
        <w:t> </w:t>
      </w:r>
      <w:r>
        <w:t>možnost nasadit velkokapacitní vozidla. Nevýhodou je investiční náročnost a</w:t>
      </w:r>
      <w:r w:rsidR="00546698">
        <w:t> </w:t>
      </w:r>
      <w:r>
        <w:t>zdlouhavá příprava nových úseků stejně jako komplikace spojené se zařazením infrastruktury a</w:t>
      </w:r>
      <w:r w:rsidR="00546698">
        <w:t> </w:t>
      </w:r>
      <w:r>
        <w:t>na rozdíl od řady jiných států EU i</w:t>
      </w:r>
      <w:r w:rsidR="00546698">
        <w:t> </w:t>
      </w:r>
      <w:r>
        <w:t>vozidel pod drážní legislativu.</w:t>
      </w:r>
    </w:p>
    <w:p w14:paraId="52CDE860" w14:textId="77777777" w:rsidR="001B4719" w:rsidRPr="00EB34BD" w:rsidRDefault="001B4719" w:rsidP="001B4719">
      <w:pPr>
        <w:jc w:val="both"/>
        <w:rPr>
          <w:u w:val="single"/>
        </w:rPr>
      </w:pPr>
      <w:r w:rsidRPr="00EB34BD">
        <w:rPr>
          <w:u w:val="single"/>
        </w:rPr>
        <w:t>Současné problémy s</w:t>
      </w:r>
      <w:r w:rsidR="00546698">
        <w:rPr>
          <w:u w:val="single"/>
        </w:rPr>
        <w:t> </w:t>
      </w:r>
      <w:r w:rsidRPr="00EB34BD">
        <w:rPr>
          <w:u w:val="single"/>
        </w:rPr>
        <w:t>informovanos</w:t>
      </w:r>
      <w:r>
        <w:rPr>
          <w:u w:val="single"/>
        </w:rPr>
        <w:t>tí uživatelů dobíjecích stanic</w:t>
      </w:r>
    </w:p>
    <w:p w14:paraId="405896EC" w14:textId="77777777" w:rsidR="001B4719" w:rsidRDefault="001B4719" w:rsidP="001B4719">
      <w:pPr>
        <w:jc w:val="both"/>
      </w:pPr>
      <w:r>
        <w:t>S výše popsaným problémem úzce souvisí otázka, jak zajistit adekvátní informovanost uživatelů elektromobilů o</w:t>
      </w:r>
      <w:r w:rsidR="00546698">
        <w:t> </w:t>
      </w:r>
      <w:r>
        <w:t>umístění dobíjecích stanic. V</w:t>
      </w:r>
      <w:r w:rsidR="00546698">
        <w:t> </w:t>
      </w:r>
      <w:r>
        <w:t>současnosti není v</w:t>
      </w:r>
      <w:r w:rsidR="00546698">
        <w:t> </w:t>
      </w:r>
      <w:r>
        <w:t>ČR k</w:t>
      </w:r>
      <w:r w:rsidR="00546698">
        <w:t> </w:t>
      </w:r>
      <w:r>
        <w:t>dispozici ucelený informační systém, který by uživatelům umožňoval mít komplexní přehled o</w:t>
      </w:r>
      <w:r w:rsidR="00546698">
        <w:t> </w:t>
      </w:r>
      <w:r>
        <w:t>všech lokalitách dobíjecích stanic/bodů. Skutečností je, že hlavní hráči na trhu dobíjecích stanic (společnosti ČEZ, PRE, E.ON) uvádějí na svých webových stránkách vždy jen informace o</w:t>
      </w:r>
      <w:r w:rsidR="00546698">
        <w:t> </w:t>
      </w:r>
      <w:r>
        <w:t>svých dobíjecích lokalitách. Existují sice některé webové portály, na nichž si uživatelé elektromobilů mohou udělat poněkud širší obrázek o</w:t>
      </w:r>
      <w:r w:rsidR="00546698">
        <w:t> </w:t>
      </w:r>
      <w:r>
        <w:t>rozsahu dobíjecí infrastruktury v</w:t>
      </w:r>
      <w:r w:rsidR="00546698">
        <w:t> </w:t>
      </w:r>
      <w:r>
        <w:t>ČR, případně je možné se podívat na některý z</w:t>
      </w:r>
      <w:r w:rsidR="00546698">
        <w:t> </w:t>
      </w:r>
      <w:r>
        <w:t>webů s</w:t>
      </w:r>
      <w:r w:rsidR="00546698">
        <w:t> </w:t>
      </w:r>
      <w:r>
        <w:t>celoevropskou působností. Žádný web však negarantuje to, že by obsahoval přehled skutečně všech veřejných dobíjecích stanic v</w:t>
      </w:r>
      <w:r w:rsidR="00546698">
        <w:t> </w:t>
      </w:r>
      <w:r>
        <w:t>zemi a</w:t>
      </w:r>
      <w:r w:rsidR="00546698">
        <w:t> </w:t>
      </w:r>
      <w:r>
        <w:t>že by všechny obsažené údaje prošly nějakou formou verifikace.</w:t>
      </w:r>
    </w:p>
    <w:p w14:paraId="21A2B2BA" w14:textId="77777777" w:rsidR="001B4719" w:rsidRPr="001974D6" w:rsidRDefault="001B4719" w:rsidP="001B4719">
      <w:pPr>
        <w:jc w:val="both"/>
      </w:pPr>
      <w:r>
        <w:t>Vzhledem k</w:t>
      </w:r>
      <w:r w:rsidR="00546698">
        <w:t> </w:t>
      </w:r>
      <w:r>
        <w:t>této skutečnosti se MD rozhodlo zapojit se do elektromobilního projektu v</w:t>
      </w:r>
      <w:r w:rsidR="00546698">
        <w:t> </w:t>
      </w:r>
      <w:r>
        <w:t>rámci Technické pomoci CEF (PSA CEF elektromobility), jehož jedna z</w:t>
      </w:r>
      <w:r w:rsidR="00546698">
        <w:t> </w:t>
      </w:r>
      <w:r>
        <w:t>aktivit se týká právě zajištění informovanosti uživatelů elektromobilů o</w:t>
      </w:r>
      <w:r w:rsidR="00546698">
        <w:t> </w:t>
      </w:r>
      <w:r>
        <w:t>umístění jednotlivých dobíjecích stanic na území ČR. Cílem této aktivity je shromáždit o</w:t>
      </w:r>
      <w:r w:rsidR="00546698">
        <w:t> </w:t>
      </w:r>
      <w:r>
        <w:t>těchto dobíjecích stanicích/bodech příslušná statická</w:t>
      </w:r>
      <w:r>
        <w:rPr>
          <w:rStyle w:val="Znakapoznpodarou"/>
        </w:rPr>
        <w:footnoteReference w:id="4"/>
      </w:r>
      <w:r>
        <w:t xml:space="preserve"> a</w:t>
      </w:r>
      <w:r w:rsidR="00546698">
        <w:t> </w:t>
      </w:r>
      <w:r>
        <w:t>dynamická data</w:t>
      </w:r>
      <w:r>
        <w:rPr>
          <w:rStyle w:val="Znakapoznpodarou"/>
        </w:rPr>
        <w:footnoteReference w:id="5"/>
      </w:r>
      <w:r>
        <w:t xml:space="preserve"> a</w:t>
      </w:r>
      <w:r w:rsidR="00546698">
        <w:t> </w:t>
      </w:r>
      <w:r>
        <w:t>zveřejnit je prostřednictvím vnitrostátního přístupového místa pro multimodální dopravní informace. V</w:t>
      </w:r>
      <w:r w:rsidR="00546698">
        <w:t> </w:t>
      </w:r>
      <w:r>
        <w:t>ČR by funkci tohoto přístupového bodu mělo plnit Národní dopravní informační centrum (NDIC), které je součástí Ředitelství silnic a</w:t>
      </w:r>
      <w:r w:rsidR="00546698">
        <w:t> </w:t>
      </w:r>
      <w:r>
        <w:t>dálnic (ŘSD). ŘSD je z</w:t>
      </w:r>
      <w:r w:rsidR="00546698">
        <w:t> </w:t>
      </w:r>
      <w:r>
        <w:t>tohoto titulu v</w:t>
      </w:r>
      <w:r w:rsidR="00546698">
        <w:t> </w:t>
      </w:r>
      <w:r>
        <w:t>rámci zmiňovaného projektu implementačním subjektem a</w:t>
      </w:r>
      <w:r w:rsidR="00546698">
        <w:t> </w:t>
      </w:r>
      <w:r>
        <w:t>bude na něm dlít hlavní odpovědnost za realizaci daného úkolu, který má být splněn do konce roku 2021.</w:t>
      </w:r>
    </w:p>
    <w:p w14:paraId="79AF5EFC" w14:textId="77777777" w:rsidR="001B4719" w:rsidRPr="00717E67" w:rsidRDefault="001B4719" w:rsidP="001B4719">
      <w:pPr>
        <w:pStyle w:val="Nadpis4"/>
        <w:numPr>
          <w:ilvl w:val="3"/>
          <w:numId w:val="9"/>
        </w:numPr>
        <w:jc w:val="both"/>
      </w:pPr>
      <w:bookmarkStart w:id="175" w:name="_Toc12540121"/>
      <w:bookmarkStart w:id="176" w:name="_Toc19792309"/>
      <w:bookmarkStart w:id="177" w:name="_Toc25136787"/>
      <w:bookmarkStart w:id="178" w:name="_Toc34295913"/>
      <w:r w:rsidRPr="00717E67">
        <w:t xml:space="preserve">Stručné vyhodnocení </w:t>
      </w:r>
      <w:r>
        <w:t xml:space="preserve">plnění </w:t>
      </w:r>
      <w:r w:rsidRPr="00717E67">
        <w:t xml:space="preserve">cílů původního NAP </w:t>
      </w:r>
      <w:r>
        <w:t>C</w:t>
      </w:r>
      <w:r w:rsidRPr="00717E67">
        <w:t>M</w:t>
      </w:r>
      <w:bookmarkEnd w:id="175"/>
      <w:bookmarkEnd w:id="176"/>
      <w:bookmarkEnd w:id="177"/>
      <w:bookmarkEnd w:id="178"/>
    </w:p>
    <w:p w14:paraId="57DBEC72" w14:textId="77777777" w:rsidR="001B4719" w:rsidRDefault="001B4719" w:rsidP="001B4719">
      <w:pPr>
        <w:jc w:val="both"/>
      </w:pPr>
      <w:r>
        <w:t>Součástí schváleného NAP CM je harmonogram a</w:t>
      </w:r>
      <w:r w:rsidR="00546698">
        <w:t> </w:t>
      </w:r>
      <w:r>
        <w:t>plán realizace NAP CM, respektive jednotlivých opatření.</w:t>
      </w:r>
    </w:p>
    <w:p w14:paraId="2B0AB7D8" w14:textId="77777777" w:rsidR="001B4719" w:rsidRPr="00704CDF" w:rsidRDefault="001B4719" w:rsidP="001B4719">
      <w:pPr>
        <w:jc w:val="both"/>
      </w:pPr>
      <w:r w:rsidRPr="00704CDF">
        <w:lastRenderedPageBreak/>
        <w:t>Jak je patrné z</w:t>
      </w:r>
      <w:r w:rsidR="00546698">
        <w:t> </w:t>
      </w:r>
      <w:r w:rsidRPr="00704CDF">
        <w:t>přehledu plnění jednotlivých opatření v</w:t>
      </w:r>
      <w:r w:rsidR="00546698">
        <w:t> </w:t>
      </w:r>
      <w:r w:rsidRPr="00704CDF">
        <w:t xml:space="preserve">rámci NAP </w:t>
      </w:r>
      <w:r>
        <w:t>C</w:t>
      </w:r>
      <w:r w:rsidRPr="00704CDF">
        <w:t>M z</w:t>
      </w:r>
      <w:r w:rsidR="00546698">
        <w:t> </w:t>
      </w:r>
      <w:r w:rsidRPr="00704CDF">
        <w:t>roku 2017, i</w:t>
      </w:r>
      <w:r w:rsidR="00546698">
        <w:t> </w:t>
      </w:r>
      <w:r w:rsidRPr="00704CDF">
        <w:t>přes splnění některých karet opatření se větší část navržených opatření dosud nepodařilo finálně realizovat a</w:t>
      </w:r>
      <w:r w:rsidR="00546698">
        <w:t> </w:t>
      </w:r>
      <w:r w:rsidRPr="00704CDF">
        <w:t>jsou stále ve stavu „plněno“, existují však i</w:t>
      </w:r>
      <w:r w:rsidR="00546698">
        <w:t> </w:t>
      </w:r>
      <w:r w:rsidRPr="00704CDF">
        <w:t>opatření, u</w:t>
      </w:r>
      <w:r w:rsidR="00546698">
        <w:t> </w:t>
      </w:r>
      <w:r w:rsidRPr="00704CDF">
        <w:t>nichž lze bohužel konstatovat, že plněna nejsou vůbec.</w:t>
      </w:r>
    </w:p>
    <w:p w14:paraId="553B988F" w14:textId="77777777" w:rsidR="001B4719" w:rsidRPr="00704CDF" w:rsidRDefault="001B4719" w:rsidP="001B4719">
      <w:pPr>
        <w:jc w:val="both"/>
      </w:pPr>
      <w:r w:rsidRPr="00704CDF">
        <w:t>V průběhu roku 2018 došlo z</w:t>
      </w:r>
      <w:r w:rsidR="00546698">
        <w:t> </w:t>
      </w:r>
      <w:r w:rsidRPr="00704CDF">
        <w:t>hlediska vývoje v</w:t>
      </w:r>
      <w:r w:rsidR="00546698">
        <w:t> </w:t>
      </w:r>
      <w:r w:rsidRPr="00704CDF">
        <w:t>jednotlivých kartách opatření k</w:t>
      </w:r>
      <w:r w:rsidR="00546698">
        <w:t> </w:t>
      </w:r>
      <w:r w:rsidRPr="00704CDF">
        <w:t>posunu v</w:t>
      </w:r>
      <w:r w:rsidR="00546698">
        <w:t> </w:t>
      </w:r>
      <w:r w:rsidRPr="00704CDF">
        <w:t>mnoha oblastech, setrvalý stav lze konstatovat zejména u</w:t>
      </w:r>
      <w:r w:rsidR="00546698">
        <w:t> </w:t>
      </w:r>
      <w:r w:rsidRPr="00704CDF">
        <w:t>opatření s</w:t>
      </w:r>
      <w:r w:rsidR="00546698">
        <w:t> </w:t>
      </w:r>
      <w:r w:rsidRPr="00704CDF">
        <w:t>očekávaným dopadem na státní rozpočet v</w:t>
      </w:r>
      <w:r w:rsidR="00546698">
        <w:t> </w:t>
      </w:r>
      <w:r w:rsidRPr="00704CDF">
        <w:t>gesci Ministerstva financí. U</w:t>
      </w:r>
      <w:r w:rsidR="00546698">
        <w:t> </w:t>
      </w:r>
      <w:r w:rsidRPr="00704CDF">
        <w:t>elektromobility se to týká zejména otázky zavedení zrychlených od</w:t>
      </w:r>
      <w:r>
        <w:t>pisů pro dobíjecí infrastrukturu a</w:t>
      </w:r>
      <w:r w:rsidR="00546698">
        <w:t> </w:t>
      </w:r>
      <w:r>
        <w:t>pro elektrická vozidla.</w:t>
      </w:r>
    </w:p>
    <w:p w14:paraId="6A587D8A" w14:textId="77777777" w:rsidR="001B4719" w:rsidRDefault="001B4719" w:rsidP="001B4719">
      <w:pPr>
        <w:jc w:val="both"/>
      </w:pPr>
      <w:r w:rsidRPr="00704CDF">
        <w:t>Ve vztahu k</w:t>
      </w:r>
      <w:r w:rsidR="00546698">
        <w:t> </w:t>
      </w:r>
      <w:r w:rsidRPr="00704CDF">
        <w:t>elektromobilitě se zatím dále nedaří realizovat opatření v</w:t>
      </w:r>
      <w:r w:rsidR="00546698">
        <w:t> </w:t>
      </w:r>
      <w:r w:rsidRPr="00704CDF">
        <w:t>působnosti municipalit jakou je využití pruhů pro autobusy a</w:t>
      </w:r>
      <w:r w:rsidR="00546698">
        <w:t> </w:t>
      </w:r>
      <w:r w:rsidRPr="00704CDF">
        <w:t>taxi vozidly s</w:t>
      </w:r>
      <w:r w:rsidR="00546698">
        <w:t> </w:t>
      </w:r>
      <w:r w:rsidRPr="00704CDF">
        <w:t>elektrickým pohonem či parkování na veřejných parkovištích zdarma pro vozidla na alternativní paliva. V</w:t>
      </w:r>
      <w:r w:rsidR="00546698">
        <w:t> </w:t>
      </w:r>
      <w:r w:rsidRPr="00704CDF">
        <w:t>tomto případě je jistou výjimkou Hl. město Praha, které umožňuje pro elektrická vozidla parkování zdarma ve vyhrazených parkovacích (tzv. modrých) zónách. K</w:t>
      </w:r>
      <w:r w:rsidR="00546698">
        <w:t> </w:t>
      </w:r>
      <w:r w:rsidRPr="00704CDF">
        <w:t>dalšímu posunu u</w:t>
      </w:r>
      <w:r w:rsidR="00546698">
        <w:t> </w:t>
      </w:r>
      <w:r w:rsidRPr="00704CDF">
        <w:t>obou zmiňovaných opatření by mohlo dojít v</w:t>
      </w:r>
      <w:r w:rsidR="00546698">
        <w:t> </w:t>
      </w:r>
      <w:r w:rsidRPr="00704CDF">
        <w:t>budoucnosti v</w:t>
      </w:r>
      <w:r w:rsidR="00546698">
        <w:t> </w:t>
      </w:r>
      <w:r w:rsidRPr="00704CDF">
        <w:t>návaznosti na zavedení zvláštní registrační značky pro elektrická vozidla, které se začaly vydávat od 1.</w:t>
      </w:r>
      <w:r>
        <w:t xml:space="preserve"> </w:t>
      </w:r>
      <w:r w:rsidRPr="00704CDF">
        <w:t>4</w:t>
      </w:r>
      <w:r>
        <w:t>.</w:t>
      </w:r>
      <w:r w:rsidRPr="00704CDF">
        <w:t xml:space="preserve"> 2019.</w:t>
      </w:r>
    </w:p>
    <w:p w14:paraId="5FD4FDEF" w14:textId="77777777" w:rsidR="001B4719" w:rsidRDefault="001B4719" w:rsidP="001B4719">
      <w:pPr>
        <w:jc w:val="both"/>
      </w:pPr>
      <w:r>
        <w:t>Na příkladu MHD, která je dosud nejvýznamnějším místem aplikací elektromobility, se ukazuje, že nejefektivnější řešení co do využití vozidel i</w:t>
      </w:r>
      <w:r w:rsidR="00546698">
        <w:t> </w:t>
      </w:r>
      <w:r>
        <w:t>spotřeby energie na přepravní výkon jsou těmi nejdražšími investicemi. Někteří menší provozovatelé mohou mít problém takové investice předfinancovat. Další otázkou pak je zajištění dlouhodobé udržitelnosti financování po skončení životnosti. Řada menších i</w:t>
      </w:r>
      <w:r w:rsidR="00546698">
        <w:t> </w:t>
      </w:r>
      <w:r>
        <w:t>velkých provozovatelů se proto může uchylovat k</w:t>
      </w:r>
      <w:r w:rsidR="00546698">
        <w:t> </w:t>
      </w:r>
      <w:r>
        <w:t>řešením, která nakonec nebudou mít žádný valný příspěvek na snížení</w:t>
      </w:r>
      <w:r w:rsidR="00365E96">
        <w:t xml:space="preserve"> emisí skleníkových plynů. NAP C</w:t>
      </w:r>
      <w:r>
        <w:t>M by měl přednostně podporovat ty systémy, které jsou nejvíce energeticky efektivní a</w:t>
      </w:r>
      <w:r w:rsidR="00546698">
        <w:t> </w:t>
      </w:r>
      <w:r>
        <w:t>mají významnější dopad na emise.</w:t>
      </w:r>
    </w:p>
    <w:p w14:paraId="091E9BC2" w14:textId="77777777" w:rsidR="001B4719" w:rsidRDefault="001B4719" w:rsidP="001B4719">
      <w:pPr>
        <w:jc w:val="both"/>
      </w:pPr>
      <w:r>
        <w:t>Nutnost energetické efektivity jednotlivých opatření významně podporuje také Vnitrostátní plán ČR v</w:t>
      </w:r>
      <w:r w:rsidR="00546698">
        <w:t> </w:t>
      </w:r>
      <w:r>
        <w:t>oblasti energetiky a</w:t>
      </w:r>
      <w:r w:rsidR="00546698">
        <w:t> </w:t>
      </w:r>
      <w:r>
        <w:t>klimatu do roku 2030, schválený usnesením vlády ČR č. 84/2019, který stanovil závazný cíl snížit mezi roky 2020 a</w:t>
      </w:r>
      <w:r w:rsidR="00546698">
        <w:t> </w:t>
      </w:r>
      <w:r>
        <w:t>2030 konečnou spotřebu energie o</w:t>
      </w:r>
      <w:r w:rsidR="00546698">
        <w:t> </w:t>
      </w:r>
      <w:r>
        <w:t>8 %.</w:t>
      </w:r>
    </w:p>
    <w:p w14:paraId="764A2476" w14:textId="77777777" w:rsidR="001B4719" w:rsidRDefault="001B4719" w:rsidP="001B4719">
      <w:pPr>
        <w:jc w:val="both"/>
      </w:pPr>
      <w:r>
        <w:t>Z opatření obsažených v</w:t>
      </w:r>
      <w:r w:rsidR="00546698">
        <w:t> </w:t>
      </w:r>
      <w:r>
        <w:t>původním NAP CM ve vazbě na výše uvedený strategický cíl se podařilo zrealizovat pouze zavedení investiční podpory na budování veřejné dobíjecí infrastruktury. Toto opatření je součástí dotačního programu, který realizuje Ministerstvo dopravy (MD) v</w:t>
      </w:r>
      <w:r w:rsidR="00546698">
        <w:t> </w:t>
      </w:r>
      <w:r>
        <w:t>rámci Operačního programu Doprava (OPD) na podporu rozvoje infrastruktury pro alternativní paliva. Za tímto účelem bylo alokováno 1,2 mld. Kč s</w:t>
      </w:r>
      <w:r w:rsidR="00546698">
        <w:t> </w:t>
      </w:r>
      <w:r>
        <w:t>tím, že na oblast rozvoje dobíjecích stanic by mělo být uvolněno 850 mil. Kč. V</w:t>
      </w:r>
      <w:r w:rsidR="00546698">
        <w:t> </w:t>
      </w:r>
      <w:r>
        <w:t>konečném důsledku však bude záležet na zájmu příslušných žadatelů o</w:t>
      </w:r>
      <w:r w:rsidR="00546698">
        <w:t> </w:t>
      </w:r>
      <w:r>
        <w:t>tento program. Jeho samotnému spuštění v</w:t>
      </w:r>
      <w:r w:rsidR="00546698">
        <w:t> </w:t>
      </w:r>
      <w:r>
        <w:t>listopadu 2017 předcházel poměrně složitý, téměř 2</w:t>
      </w:r>
      <w:r w:rsidR="00365E96">
        <w:t> </w:t>
      </w:r>
      <w:r>
        <w:t>roky trvající, proces tzv. notifikace veřejné podpory s</w:t>
      </w:r>
      <w:r w:rsidR="00546698">
        <w:t> </w:t>
      </w:r>
      <w:r>
        <w:t>Evropskou komisí, který byl završen přijetím rozhodnutí Komise č. SA.45182 (2016/N).</w:t>
      </w:r>
    </w:p>
    <w:p w14:paraId="1565AB8C" w14:textId="77777777" w:rsidR="001B4719" w:rsidRDefault="001B4719" w:rsidP="001B4719">
      <w:pPr>
        <w:jc w:val="both"/>
      </w:pPr>
      <w:r>
        <w:t>Vzhledem k</w:t>
      </w:r>
      <w:r w:rsidR="00546698">
        <w:t> </w:t>
      </w:r>
      <w:r>
        <w:t>tomuto složitému procesu došlo oproti plánovanému harmonogramu realizace daného programu k</w:t>
      </w:r>
      <w:r w:rsidR="00546698">
        <w:t> </w:t>
      </w:r>
      <w:r>
        <w:t>téměř ročnímu zpoždění. Program byl koncipován tak, aby se jeho prostřednictvím podařilo naplnit výše uvedený specifický cíl 1300 dobíjecích bodů do roku 2020. Díky zmiňovanému zpoždění se efekty spojené s</w:t>
      </w:r>
      <w:r w:rsidR="00546698">
        <w:t> </w:t>
      </w:r>
      <w:r>
        <w:t>tímto dotačním program dostaví patrně o</w:t>
      </w:r>
      <w:r w:rsidR="00546698">
        <w:t> </w:t>
      </w:r>
      <w:r>
        <w:t>něco později (2021</w:t>
      </w:r>
      <w:r w:rsidR="00365E96">
        <w:t xml:space="preserve"> </w:t>
      </w:r>
      <w:r>
        <w:t>-</w:t>
      </w:r>
      <w:r w:rsidR="00365E96">
        <w:t xml:space="preserve"> 20</w:t>
      </w:r>
      <w:r>
        <w:t>22).</w:t>
      </w:r>
    </w:p>
    <w:p w14:paraId="7872C3E4" w14:textId="77777777" w:rsidR="001B4719" w:rsidRDefault="001B4719" w:rsidP="001B4719">
      <w:pPr>
        <w:jc w:val="both"/>
      </w:pPr>
      <w:r>
        <w:t>Na druhou stranu je však třeba zmínit, že v</w:t>
      </w:r>
      <w:r w:rsidR="00546698">
        <w:t> </w:t>
      </w:r>
      <w:r>
        <w:t>letech 2015</w:t>
      </w:r>
      <w:r w:rsidR="00365E96">
        <w:t xml:space="preserve"> </w:t>
      </w:r>
      <w:r>
        <w:t>-</w:t>
      </w:r>
      <w:r w:rsidR="00365E96">
        <w:t xml:space="preserve"> </w:t>
      </w:r>
      <w:r>
        <w:t>2017 byly některé české subjekty úspěšné v</w:t>
      </w:r>
      <w:r w:rsidR="00546698">
        <w:t> </w:t>
      </w:r>
      <w:r>
        <w:t>získání finanční podpory z</w:t>
      </w:r>
      <w:r w:rsidR="00546698">
        <w:t> </w:t>
      </w:r>
      <w:r>
        <w:t>fondu CEF, díky čemuž by v</w:t>
      </w:r>
      <w:r w:rsidR="00546698">
        <w:t> </w:t>
      </w:r>
      <w:r>
        <w:t>ČR do roku 2020 mělo vzniknout okolo 150 rychlodobíjecích stanic/bodů.</w:t>
      </w:r>
    </w:p>
    <w:p w14:paraId="65D1FE35" w14:textId="77777777" w:rsidR="001B4719" w:rsidRDefault="001B4719" w:rsidP="001B4719">
      <w:pPr>
        <w:jc w:val="both"/>
      </w:pPr>
      <w:r>
        <w:t>Některá opatření původního NAP CM mají vazbu na schválené programy podpory, a</w:t>
      </w:r>
      <w:r w:rsidR="00546698">
        <w:t> </w:t>
      </w:r>
      <w:r>
        <w:t>proto budou realizována i</w:t>
      </w:r>
      <w:r w:rsidR="00546698">
        <w:t> </w:t>
      </w:r>
      <w:r>
        <w:t>v období po schválení aktualizace NAP CM.</w:t>
      </w:r>
    </w:p>
    <w:p w14:paraId="4412252C" w14:textId="77777777" w:rsidR="001B4719" w:rsidRPr="0008382C" w:rsidRDefault="001B4719" w:rsidP="001B4719">
      <w:pPr>
        <w:pStyle w:val="Nadpis4"/>
        <w:numPr>
          <w:ilvl w:val="3"/>
          <w:numId w:val="9"/>
        </w:numPr>
        <w:jc w:val="both"/>
      </w:pPr>
      <w:bookmarkStart w:id="179" w:name="_Toc12540122"/>
      <w:bookmarkStart w:id="180" w:name="_Toc19792310"/>
      <w:bookmarkStart w:id="181" w:name="_Toc25136788"/>
      <w:bookmarkStart w:id="182" w:name="_Toc34295914"/>
      <w:r w:rsidRPr="0008382C">
        <w:t>Legislativa</w:t>
      </w:r>
      <w:bookmarkEnd w:id="179"/>
      <w:bookmarkEnd w:id="180"/>
      <w:bookmarkEnd w:id="181"/>
      <w:bookmarkEnd w:id="182"/>
    </w:p>
    <w:p w14:paraId="0728F4BC" w14:textId="77777777" w:rsidR="001B4719" w:rsidRPr="00177BCE" w:rsidRDefault="001B4719" w:rsidP="001B4719">
      <w:pPr>
        <w:jc w:val="both"/>
        <w:rPr>
          <w:b/>
          <w:u w:val="single"/>
        </w:rPr>
      </w:pPr>
      <w:bookmarkStart w:id="183" w:name="_Toc12540123"/>
      <w:r w:rsidRPr="00177BCE">
        <w:rPr>
          <w:b/>
          <w:u w:val="single"/>
        </w:rPr>
        <w:t>Legislativa v</w:t>
      </w:r>
      <w:r w:rsidR="00546698">
        <w:rPr>
          <w:b/>
          <w:u w:val="single"/>
        </w:rPr>
        <w:t> </w:t>
      </w:r>
      <w:r w:rsidRPr="00177BCE">
        <w:rPr>
          <w:b/>
          <w:u w:val="single"/>
        </w:rPr>
        <w:t>oblasti elektromobility (zákon o</w:t>
      </w:r>
      <w:r w:rsidR="00546698">
        <w:rPr>
          <w:b/>
          <w:u w:val="single"/>
        </w:rPr>
        <w:t> </w:t>
      </w:r>
      <w:r w:rsidRPr="00177BCE">
        <w:rPr>
          <w:b/>
          <w:u w:val="single"/>
        </w:rPr>
        <w:t>PHM)</w:t>
      </w:r>
      <w:bookmarkEnd w:id="183"/>
    </w:p>
    <w:p w14:paraId="49418B6A" w14:textId="77777777" w:rsidR="001B4719" w:rsidRDefault="001B4719" w:rsidP="001B4719">
      <w:pPr>
        <w:jc w:val="both"/>
      </w:pPr>
      <w:r>
        <w:t xml:space="preserve">Základní legislativou, která řeší problematiku elektromobility, je od roku </w:t>
      </w:r>
      <w:r w:rsidRPr="00A5191D">
        <w:t>2017</w:t>
      </w:r>
      <w:r>
        <w:t xml:space="preserve"> zákon č. </w:t>
      </w:r>
      <w:r w:rsidRPr="00A5191D">
        <w:t>311/2006 Sb., o</w:t>
      </w:r>
      <w:r w:rsidR="00546698">
        <w:t> </w:t>
      </w:r>
      <w:r w:rsidRPr="00A5191D">
        <w:t>pohonných hmotách a</w:t>
      </w:r>
      <w:r w:rsidR="00546698">
        <w:t> </w:t>
      </w:r>
      <w:r w:rsidRPr="00A5191D">
        <w:t>čerpacích stanicích pohonných hmot, kdy byl novelizován zákonem č.</w:t>
      </w:r>
      <w:r>
        <w:t> 1</w:t>
      </w:r>
      <w:r w:rsidRPr="00A5191D">
        <w:t>52/2017 Sb., který transponoval do národní legislativy Směrnici Evropského parlamentu a</w:t>
      </w:r>
      <w:r w:rsidR="00546698">
        <w:t> </w:t>
      </w:r>
      <w:r w:rsidRPr="00A5191D">
        <w:t>Rady 2014/94/EU o</w:t>
      </w:r>
      <w:r w:rsidR="00546698">
        <w:t> </w:t>
      </w:r>
      <w:r w:rsidRPr="00A5191D">
        <w:t>zavádění infrastruktury pro alternativní paliva.</w:t>
      </w:r>
      <w:r>
        <w:t xml:space="preserve"> </w:t>
      </w:r>
    </w:p>
    <w:p w14:paraId="728E4768" w14:textId="77777777" w:rsidR="001B4719" w:rsidRDefault="001B4719" w:rsidP="001B4719">
      <w:pPr>
        <w:jc w:val="both"/>
      </w:pPr>
      <w:r>
        <w:lastRenderedPageBreak/>
        <w:t>Praktické zkušenosti z</w:t>
      </w:r>
      <w:r w:rsidR="00546698">
        <w:t> </w:t>
      </w:r>
      <w:r>
        <w:t>aplikace zákona byly promítnuty do novely zákona o</w:t>
      </w:r>
      <w:r w:rsidR="00546698">
        <w:t> </w:t>
      </w:r>
      <w:r>
        <w:t>pohonných hmotách, která byla dána do legislativního procesu v</w:t>
      </w:r>
      <w:r w:rsidR="00546698">
        <w:t> </w:t>
      </w:r>
      <w:r>
        <w:t xml:space="preserve">roce 2018. </w:t>
      </w:r>
    </w:p>
    <w:p w14:paraId="5756622E" w14:textId="77777777" w:rsidR="001B4719" w:rsidRPr="00A5191D" w:rsidRDefault="001B4719" w:rsidP="001B4719">
      <w:pPr>
        <w:jc w:val="both"/>
      </w:pPr>
      <w:r>
        <w:t>Úpravy se týkají</w:t>
      </w:r>
      <w:r w:rsidRPr="00A5191D">
        <w:t xml:space="preserve"> definic</w:t>
      </w:r>
      <w:r>
        <w:t>,</w:t>
      </w:r>
      <w:r w:rsidRPr="00A5191D">
        <w:t xml:space="preserve"> </w:t>
      </w:r>
      <w:r>
        <w:t xml:space="preserve">problematiky </w:t>
      </w:r>
      <w:r w:rsidRPr="00A5191D">
        <w:t xml:space="preserve">registrace dobíjecích stanic </w:t>
      </w:r>
      <w:r>
        <w:t>možnosti sdílení informací se širší veřejností. Navržené úpravy byly diskutovány v</w:t>
      </w:r>
      <w:r w:rsidR="00546698">
        <w:t> </w:t>
      </w:r>
      <w:r>
        <w:t>rámci PS Elektromobilita v</w:t>
      </w:r>
      <w:r w:rsidR="00546698">
        <w:t> </w:t>
      </w:r>
      <w:r>
        <w:t>rámci NAP CM a</w:t>
      </w:r>
      <w:r w:rsidR="00546698">
        <w:t> </w:t>
      </w:r>
      <w:r>
        <w:t>panuje na nich shoda mezi klíčovými stakeholdery.</w:t>
      </w:r>
    </w:p>
    <w:p w14:paraId="2801733A" w14:textId="77777777" w:rsidR="001B4719" w:rsidRPr="0008382C" w:rsidRDefault="001B4719" w:rsidP="001B4719">
      <w:pPr>
        <w:jc w:val="both"/>
        <w:rPr>
          <w:b/>
          <w:u w:val="single"/>
        </w:rPr>
      </w:pPr>
      <w:bookmarkStart w:id="184" w:name="_Toc12540124"/>
      <w:r w:rsidRPr="0008382C">
        <w:rPr>
          <w:b/>
          <w:u w:val="single"/>
        </w:rPr>
        <w:t>Související legislativa</w:t>
      </w:r>
      <w:bookmarkEnd w:id="184"/>
    </w:p>
    <w:p w14:paraId="5AAE3CDA" w14:textId="77777777" w:rsidR="001B4719" w:rsidRPr="00255A20" w:rsidRDefault="001B4719" w:rsidP="001B4719">
      <w:pPr>
        <w:pStyle w:val="Odrka1"/>
        <w:jc w:val="both"/>
        <w:rPr>
          <w:u w:val="single"/>
        </w:rPr>
      </w:pPr>
      <w:r w:rsidRPr="00255A20">
        <w:rPr>
          <w:u w:val="single"/>
        </w:rPr>
        <w:t>zákon o</w:t>
      </w:r>
      <w:r w:rsidR="00546698">
        <w:rPr>
          <w:u w:val="single"/>
        </w:rPr>
        <w:t> </w:t>
      </w:r>
      <w:r>
        <w:rPr>
          <w:u w:val="single"/>
        </w:rPr>
        <w:t xml:space="preserve">ochraně </w:t>
      </w:r>
      <w:r w:rsidRPr="00255A20">
        <w:rPr>
          <w:u w:val="single"/>
        </w:rPr>
        <w:t>ovzduší</w:t>
      </w:r>
    </w:p>
    <w:p w14:paraId="69616DA8" w14:textId="77777777" w:rsidR="001B4719" w:rsidRDefault="001B4719" w:rsidP="001B4719">
      <w:pPr>
        <w:jc w:val="both"/>
      </w:pPr>
      <w:r>
        <w:t>Zákon č. 201/2012 Sb., o</w:t>
      </w:r>
      <w:r w:rsidR="00546698">
        <w:t> </w:t>
      </w:r>
      <w:r>
        <w:t>ochraně ovzduší, v</w:t>
      </w:r>
      <w:r w:rsidR="00546698">
        <w:t> </w:t>
      </w:r>
      <w:r>
        <w:t>platném znění obsahuje dva nástroje s</w:t>
      </w:r>
      <w:r w:rsidR="00546698">
        <w:t> </w:t>
      </w:r>
      <w:r>
        <w:t xml:space="preserve">vazbou na dopravní sektor. </w:t>
      </w:r>
    </w:p>
    <w:p w14:paraId="59B8A68A" w14:textId="77777777" w:rsidR="001B4719" w:rsidRDefault="001B4719" w:rsidP="001B4719">
      <w:pPr>
        <w:jc w:val="both"/>
      </w:pPr>
      <w:r>
        <w:t>Prvním nástrojem jsou tzv. nízkoemisní zóny. Na základě § 14 zákona o</w:t>
      </w:r>
      <w:r w:rsidR="00546698">
        <w:t> </w:t>
      </w:r>
      <w:r>
        <w:t>ochraně ovzduší mohou obce na svém území vyhlásit nízkoemisí zónu, tj. vymezit oblast do které mohou vjíždět pouze novější vozidla. Obce tak mohou motivovat řidiče k</w:t>
      </w:r>
      <w:r w:rsidR="00546698">
        <w:t> </w:t>
      </w:r>
      <w:r>
        <w:t xml:space="preserve">nákupu novějších vozidel, kterým bude povolen vjezd do nízkoemisní zóny. </w:t>
      </w:r>
    </w:p>
    <w:p w14:paraId="1BD9D42D" w14:textId="77777777" w:rsidR="001B4719" w:rsidRPr="002C4008" w:rsidRDefault="001B4719" w:rsidP="001B4719">
      <w:pPr>
        <w:jc w:val="both"/>
        <w:rPr>
          <w:highlight w:val="yellow"/>
        </w:rPr>
      </w:pPr>
      <w:r>
        <w:t>Druhým nástrojem je povinné snižování emisí skleníkových plynů z</w:t>
      </w:r>
      <w:r w:rsidR="00546698">
        <w:t> </w:t>
      </w:r>
      <w:r>
        <w:t>dodaných pohonných hmot. Na základě § 20 musí dodavatelé motorového benzinu nebo motorové nafty snížit emise skleníkových plynů z</w:t>
      </w:r>
      <w:r w:rsidR="00546698">
        <w:t> </w:t>
      </w:r>
      <w:r>
        <w:t>jimi dodaných pohonných hmot. Tohoto cíle mohou dosáhnout přimícháním biopaliv či bioplynu, ale také i</w:t>
      </w:r>
      <w:r w:rsidR="00546698">
        <w:t> </w:t>
      </w:r>
      <w:r>
        <w:t>dodáním zkapalněného ropného plynu, zemního plynu nebo vodíku vyrobeného z</w:t>
      </w:r>
      <w:r w:rsidR="00546698">
        <w:t> </w:t>
      </w:r>
      <w:r>
        <w:t>obnovitelných zdrojů energie.</w:t>
      </w:r>
    </w:p>
    <w:p w14:paraId="0EAD863C" w14:textId="77777777" w:rsidR="001B4719" w:rsidRPr="002C4008" w:rsidRDefault="001B4719" w:rsidP="001B4719">
      <w:pPr>
        <w:pStyle w:val="Odrka1"/>
        <w:jc w:val="both"/>
        <w:rPr>
          <w:u w:val="single"/>
        </w:rPr>
      </w:pPr>
      <w:r w:rsidRPr="002C4008">
        <w:rPr>
          <w:u w:val="single"/>
        </w:rPr>
        <w:t>energetický zákon</w:t>
      </w:r>
    </w:p>
    <w:p w14:paraId="32037501" w14:textId="77777777" w:rsidR="001B4719" w:rsidRDefault="001B4719" w:rsidP="001B4719">
      <w:pPr>
        <w:jc w:val="both"/>
      </w:pPr>
      <w:r>
        <w:t>Zákon č. 458/2000 Sb., energetický zákon, souvisí s</w:t>
      </w:r>
      <w:r w:rsidR="00546698">
        <w:t> </w:t>
      </w:r>
      <w:r>
        <w:t>elektromobilitou velmi úzce zejména v</w:t>
      </w:r>
      <w:r w:rsidR="00546698">
        <w:t> </w:t>
      </w:r>
      <w:r>
        <w:t>oblastech:</w:t>
      </w:r>
    </w:p>
    <w:p w14:paraId="49AC6C99" w14:textId="77777777" w:rsidR="001B4719" w:rsidRDefault="001B4719" w:rsidP="001B4719">
      <w:pPr>
        <w:pStyle w:val="Odrka2"/>
        <w:jc w:val="both"/>
      </w:pPr>
      <w:r>
        <w:t>připojení k</w:t>
      </w:r>
      <w:r w:rsidR="00546698">
        <w:t> </w:t>
      </w:r>
      <w:r>
        <w:t>elektrizační soustavě</w:t>
      </w:r>
    </w:p>
    <w:p w14:paraId="76CEFD20" w14:textId="77777777" w:rsidR="001B4719" w:rsidRDefault="001B4719" w:rsidP="001B4719">
      <w:pPr>
        <w:pStyle w:val="Odrka2"/>
        <w:jc w:val="both"/>
      </w:pPr>
      <w:r>
        <w:t>podmínky provozu dobíjecí stanice ve vazbě na pravidla provozování distribučních soustav (PPDS)</w:t>
      </w:r>
    </w:p>
    <w:p w14:paraId="7DD1A2C4" w14:textId="77777777" w:rsidR="001B4719" w:rsidRDefault="001B4719" w:rsidP="001B4719">
      <w:pPr>
        <w:jc w:val="both"/>
      </w:pPr>
      <w:r>
        <w:t>Do budoucna lze očekávat větší provázání na tento zákon, zejména z</w:t>
      </w:r>
      <w:r w:rsidR="00546698">
        <w:t> </w:t>
      </w:r>
      <w:r>
        <w:t>důvodu očekáváných nových trendů podle nového energetického balíčku, kterými jsou zejména:</w:t>
      </w:r>
    </w:p>
    <w:p w14:paraId="6E5E3A01" w14:textId="77777777" w:rsidR="001B4719" w:rsidRDefault="001B4719" w:rsidP="001B4719">
      <w:pPr>
        <w:pStyle w:val="Odrka2"/>
        <w:jc w:val="both"/>
      </w:pPr>
      <w:r>
        <w:t>flexibilita</w:t>
      </w:r>
    </w:p>
    <w:p w14:paraId="2FE41B7F" w14:textId="77777777" w:rsidR="001B4719" w:rsidRDefault="001B4719" w:rsidP="001B4719">
      <w:pPr>
        <w:pStyle w:val="Odrka2"/>
        <w:jc w:val="both"/>
      </w:pPr>
      <w:r>
        <w:t>agregace</w:t>
      </w:r>
    </w:p>
    <w:p w14:paraId="5CFF9699" w14:textId="77777777" w:rsidR="001B4719" w:rsidRDefault="001B4719" w:rsidP="001B4719">
      <w:pPr>
        <w:jc w:val="both"/>
      </w:pPr>
      <w:r>
        <w:t>Právě elektromobilita se velmi pravděpodobně stane jednou z</w:t>
      </w:r>
      <w:r w:rsidR="00546698">
        <w:t> </w:t>
      </w:r>
      <w:r>
        <w:t>klíčových oblastí pro výše uvedené nové trendy.</w:t>
      </w:r>
    </w:p>
    <w:p w14:paraId="54416604" w14:textId="77777777" w:rsidR="001B4719" w:rsidRPr="00615D34" w:rsidRDefault="001B4719" w:rsidP="001B4719">
      <w:pPr>
        <w:pStyle w:val="Odrka1"/>
        <w:jc w:val="both"/>
      </w:pPr>
      <w:r>
        <w:rPr>
          <w:u w:val="single"/>
        </w:rPr>
        <w:t>zákon o</w:t>
      </w:r>
      <w:r w:rsidR="00546698">
        <w:rPr>
          <w:u w:val="single"/>
        </w:rPr>
        <w:t> </w:t>
      </w:r>
      <w:r>
        <w:rPr>
          <w:u w:val="single"/>
        </w:rPr>
        <w:t>podporovaných zdrojích</w:t>
      </w:r>
      <w:r w:rsidR="00BD293D">
        <w:rPr>
          <w:u w:val="single"/>
        </w:rPr>
        <w:t xml:space="preserve"> energie</w:t>
      </w:r>
    </w:p>
    <w:p w14:paraId="6BF379A6" w14:textId="77777777" w:rsidR="001B4719" w:rsidRDefault="001B4719" w:rsidP="001B4719">
      <w:pPr>
        <w:jc w:val="both"/>
      </w:pPr>
      <w:r>
        <w:t>Zákon č. 165/2012 Sb., o</w:t>
      </w:r>
      <w:r w:rsidR="00546698">
        <w:t> </w:t>
      </w:r>
      <w:r>
        <w:t>podporovaných zdrojích energie a</w:t>
      </w:r>
      <w:r w:rsidR="00546698">
        <w:t> </w:t>
      </w:r>
      <w:r>
        <w:t>o změně některých zákonů, upravuje podporu elektřiny, tepla a</w:t>
      </w:r>
      <w:r w:rsidR="00546698">
        <w:t> </w:t>
      </w:r>
      <w:r>
        <w:t>biometanu z</w:t>
      </w:r>
      <w:r w:rsidR="00546698">
        <w:t> </w:t>
      </w:r>
      <w:r>
        <w:t>obnovitelných zdrojů energie, druhotných energetických zdrojů, vysokoúčinné kombinované výroby elektřiny a</w:t>
      </w:r>
      <w:r w:rsidR="00546698">
        <w:t> </w:t>
      </w:r>
      <w:r>
        <w:t>tepla a</w:t>
      </w:r>
      <w:r w:rsidR="00546698">
        <w:t> </w:t>
      </w:r>
      <w:r>
        <w:t>decentrální výroby elektřiny. Zákon rovněž upravuje odvod z</w:t>
      </w:r>
      <w:r w:rsidR="00546698">
        <w:t> </w:t>
      </w:r>
      <w:r>
        <w:t>elektřiny ze slunečního záření, financování podpory a</w:t>
      </w:r>
      <w:r w:rsidR="00546698">
        <w:t> </w:t>
      </w:r>
      <w:r>
        <w:t>související dotace.</w:t>
      </w:r>
    </w:p>
    <w:p w14:paraId="768EB91B" w14:textId="77777777" w:rsidR="001B4719" w:rsidRDefault="001B4719" w:rsidP="001B4719">
      <w:pPr>
        <w:jc w:val="both"/>
      </w:pPr>
      <w:r>
        <w:t>Přepracované znění směrnice o</w:t>
      </w:r>
      <w:r w:rsidR="00546698">
        <w:t> </w:t>
      </w:r>
      <w:r>
        <w:t>podpoře využívání energie z</w:t>
      </w:r>
      <w:r w:rsidR="00546698">
        <w:t> </w:t>
      </w:r>
      <w:r>
        <w:t>obnovitelných zdrojů (č. 2018/2002) obsahuje požadavky na podcíle v</w:t>
      </w:r>
      <w:r w:rsidR="00546698">
        <w:t> </w:t>
      </w:r>
      <w:r>
        <w:t>sektoru vytápění a</w:t>
      </w:r>
      <w:r w:rsidR="00546698">
        <w:t> </w:t>
      </w:r>
      <w:r>
        <w:t>chlazení a</w:t>
      </w:r>
      <w:r w:rsidR="00546698">
        <w:t> </w:t>
      </w:r>
      <w:r>
        <w:t xml:space="preserve">sektoru dopravy. </w:t>
      </w:r>
      <w:r>
        <w:rPr>
          <w:color w:val="000000"/>
        </w:rPr>
        <w:t>V</w:t>
      </w:r>
      <w:r w:rsidR="00546698">
        <w:rPr>
          <w:color w:val="000000"/>
        </w:rPr>
        <w:t> </w:t>
      </w:r>
      <w:r>
        <w:rPr>
          <w:color w:val="000000"/>
        </w:rPr>
        <w:t>oblasti dopravy je cíl stanoven závazně pro všechny členské státy na úrovni 14 %. Mezi hlavní politiky pro naplnění navrženého příspěvku patří politiky zakotvené v</w:t>
      </w:r>
      <w:r w:rsidR="00546698">
        <w:rPr>
          <w:color w:val="000000"/>
        </w:rPr>
        <w:t> </w:t>
      </w:r>
      <w:r>
        <w:rPr>
          <w:color w:val="000000"/>
        </w:rPr>
        <w:t xml:space="preserve">návrhu </w:t>
      </w:r>
      <w:r>
        <w:t>novely zákona č. 165/2012 Sb., o</w:t>
      </w:r>
      <w:r w:rsidR="00546698">
        <w:t> </w:t>
      </w:r>
      <w:r>
        <w:t>podporovaných zdrojích energie, která nastavuje nové schéma podpory po roce 2020. Pro zajištění cíle OZE v</w:t>
      </w:r>
      <w:r w:rsidR="00546698">
        <w:t> </w:t>
      </w:r>
      <w:r>
        <w:t>sektoru dopravy a</w:t>
      </w:r>
      <w:r w:rsidR="00546698">
        <w:t> </w:t>
      </w:r>
      <w:r>
        <w:t>podcíle v</w:t>
      </w:r>
      <w:r w:rsidR="00546698">
        <w:t> </w:t>
      </w:r>
      <w:r>
        <w:t>tomto sektoru pro pokročilá biopaliva je nezbytné zavést novou podporu, kterou bude iniciována výroba tzv. „pokročilého“ biometanu a</w:t>
      </w:r>
      <w:r w:rsidR="00546698">
        <w:t> </w:t>
      </w:r>
      <w:r>
        <w:t xml:space="preserve">jeho dodávka do sektoru dopravy. </w:t>
      </w:r>
    </w:p>
    <w:p w14:paraId="5C603EE9" w14:textId="77777777" w:rsidR="001B4719" w:rsidRPr="002C4008" w:rsidRDefault="001B4719" w:rsidP="001B4719">
      <w:pPr>
        <w:pStyle w:val="Odrka1"/>
        <w:jc w:val="both"/>
        <w:rPr>
          <w:u w:val="single"/>
        </w:rPr>
      </w:pPr>
      <w:r w:rsidRPr="002C4008">
        <w:rPr>
          <w:u w:val="single"/>
        </w:rPr>
        <w:t>stavební zákon</w:t>
      </w:r>
    </w:p>
    <w:p w14:paraId="735A6574" w14:textId="77777777" w:rsidR="001B4719" w:rsidRDefault="001B4719" w:rsidP="001B4719">
      <w:pPr>
        <w:jc w:val="both"/>
      </w:pPr>
      <w:r>
        <w:t>Zákon č. 183/2006 Sb., stavební zákon, velmi podstatným způsobem ovlivňuje přípravu a</w:t>
      </w:r>
      <w:r w:rsidR="00546698">
        <w:t> </w:t>
      </w:r>
      <w:r>
        <w:t>realizaci dobíjecích stanic, a</w:t>
      </w:r>
      <w:r w:rsidR="00546698">
        <w:t> </w:t>
      </w:r>
      <w:r>
        <w:t>to v</w:t>
      </w:r>
      <w:r w:rsidR="00546698">
        <w:t> </w:t>
      </w:r>
      <w:r>
        <w:t>několika fázích:</w:t>
      </w:r>
    </w:p>
    <w:p w14:paraId="6DF31A29" w14:textId="77777777" w:rsidR="001B4719" w:rsidRDefault="001B4719" w:rsidP="001B4719">
      <w:pPr>
        <w:pStyle w:val="Odrka2"/>
        <w:jc w:val="both"/>
      </w:pPr>
      <w:r>
        <w:lastRenderedPageBreak/>
        <w:t>územní plánování</w:t>
      </w:r>
    </w:p>
    <w:p w14:paraId="223F7D06" w14:textId="77777777" w:rsidR="001B4719" w:rsidRDefault="001B4719" w:rsidP="001B4719">
      <w:pPr>
        <w:pStyle w:val="Odrka2"/>
        <w:jc w:val="both"/>
      </w:pPr>
      <w:r>
        <w:t>územní řízení</w:t>
      </w:r>
    </w:p>
    <w:p w14:paraId="78AC18D5" w14:textId="77777777" w:rsidR="001B4719" w:rsidRDefault="001B4719" w:rsidP="001B4719">
      <w:pPr>
        <w:pStyle w:val="Odrka2"/>
        <w:jc w:val="both"/>
      </w:pPr>
      <w:r>
        <w:t>stavební řízení</w:t>
      </w:r>
    </w:p>
    <w:p w14:paraId="7D41926B" w14:textId="77777777" w:rsidR="001B4719" w:rsidRDefault="001B4719" w:rsidP="001B4719">
      <w:pPr>
        <w:jc w:val="both"/>
      </w:pPr>
      <w:r>
        <w:t>První z</w:t>
      </w:r>
      <w:r w:rsidR="00546698">
        <w:t> </w:t>
      </w:r>
      <w:r>
        <w:t>oblastí je územní plánování, kdy stavebník zjišťuje soulad s</w:t>
      </w:r>
      <w:r w:rsidR="00546698">
        <w:t> </w:t>
      </w:r>
      <w:r>
        <w:t>územním plánem v</w:t>
      </w:r>
      <w:r w:rsidR="00546698">
        <w:t> </w:t>
      </w:r>
      <w:r>
        <w:t>daném území. (v případech nesouladu by následoval velmi zdlouhavý proces trvající 2 – 3 roky s</w:t>
      </w:r>
      <w:r w:rsidR="00546698">
        <w:t> </w:t>
      </w:r>
      <w:r>
        <w:t>cílem změny klíčových dokumentů – politika a</w:t>
      </w:r>
      <w:r w:rsidR="00546698">
        <w:t> </w:t>
      </w:r>
      <w:r>
        <w:t>zásady územního rozvoje, územní plán).</w:t>
      </w:r>
    </w:p>
    <w:p w14:paraId="579B1A91" w14:textId="77777777" w:rsidR="001B4719" w:rsidRDefault="001B4719" w:rsidP="001B4719">
      <w:pPr>
        <w:jc w:val="both"/>
      </w:pPr>
      <w:r>
        <w:t>Druhou z</w:t>
      </w:r>
      <w:r w:rsidR="00546698">
        <w:t> </w:t>
      </w:r>
      <w:r>
        <w:t>oblastí je proces územního řízení, který může dle charakteru daného území trvat několik měsíců až jeden rok. Během tohoto procesu stavebník zajišťuje mnoho stanovisek a</w:t>
      </w:r>
      <w:r w:rsidR="00546698">
        <w:t> </w:t>
      </w:r>
      <w:r>
        <w:t>rozhodnutí mnoha dotčených orgánů státní správy.</w:t>
      </w:r>
    </w:p>
    <w:p w14:paraId="745704B7" w14:textId="77777777" w:rsidR="001B4719" w:rsidRDefault="001B4719" w:rsidP="001B4719">
      <w:pPr>
        <w:jc w:val="both"/>
      </w:pPr>
      <w:r>
        <w:t>Poslední oblastí je proces stavebního povolení, který může dle charakteru daného území trvat několik týdnů až jednotek měsíců. Během tohoto procesu stavebník zajišťuje prakticky znovu velmi podobná až shodná stanoviska a</w:t>
      </w:r>
      <w:r w:rsidR="00546698">
        <w:t> </w:t>
      </w:r>
      <w:r>
        <w:t>rozhodnutí stejných dotčených orgánů státní správy, jako v</w:t>
      </w:r>
      <w:r w:rsidR="00546698">
        <w:t> </w:t>
      </w:r>
      <w:r>
        <w:t>případě územního řízení.</w:t>
      </w:r>
    </w:p>
    <w:p w14:paraId="495CCABB" w14:textId="77777777" w:rsidR="001B4719" w:rsidRDefault="001B4719" w:rsidP="001B4719">
      <w:pPr>
        <w:jc w:val="both"/>
      </w:pPr>
      <w:r w:rsidRPr="00660186">
        <w:t>Z výše uvedeného vyplývá, že proces je poměrně komplikovaný a</w:t>
      </w:r>
      <w:r w:rsidR="00546698">
        <w:t> </w:t>
      </w:r>
      <w:r w:rsidRPr="00660186">
        <w:t>především zdlouhavý vzhledem k</w:t>
      </w:r>
      <w:r w:rsidR="00546698">
        <w:t> </w:t>
      </w:r>
      <w:r w:rsidRPr="00660186">
        <w:t>množství vyjádření a</w:t>
      </w:r>
      <w:r w:rsidR="00546698">
        <w:t> </w:t>
      </w:r>
      <w:r w:rsidRPr="00660186">
        <w:t>stanovisek, které je třeba v</w:t>
      </w:r>
      <w:r w:rsidR="00546698">
        <w:t> </w:t>
      </w:r>
      <w:r w:rsidRPr="00660186">
        <w:t>jeho průběhu získat. Zdrojem průtahů je i</w:t>
      </w:r>
      <w:r w:rsidR="00546698">
        <w:t> </w:t>
      </w:r>
      <w:r w:rsidRPr="00660186">
        <w:t>nejednotný přístup jednotlivých stavebních úřadů nebo dotčených orgánů, vedoucí často k</w:t>
      </w:r>
      <w:r w:rsidR="00546698">
        <w:t> </w:t>
      </w:r>
      <w:r w:rsidRPr="00660186">
        <w:t>požadavkům na doplnění informací, což proces dále prodlužuje. V</w:t>
      </w:r>
      <w:r w:rsidR="00546698">
        <w:t> </w:t>
      </w:r>
      <w:r w:rsidRPr="00660186">
        <w:t>neposlední řadě je problémem nedostatečná kapacita stavebních úřadů, která dále přispívá k</w:t>
      </w:r>
      <w:r w:rsidR="00546698">
        <w:t> </w:t>
      </w:r>
      <w:r w:rsidRPr="00660186">
        <w:t>neúměrné délce stavebního řízení v</w:t>
      </w:r>
      <w:r w:rsidR="00546698">
        <w:t> </w:t>
      </w:r>
      <w:r w:rsidRPr="00660186">
        <w:t>ČR.</w:t>
      </w:r>
    </w:p>
    <w:p w14:paraId="07DA314B" w14:textId="77777777" w:rsidR="001B4719" w:rsidRDefault="001B4719" w:rsidP="001B4719">
      <w:pPr>
        <w:jc w:val="both"/>
      </w:pPr>
      <w:r w:rsidRPr="000C4F60">
        <w:t>Hlavní problémy z</w:t>
      </w:r>
      <w:r w:rsidR="00546698">
        <w:t> </w:t>
      </w:r>
      <w:r w:rsidRPr="000C4F60">
        <w:t>praxe lze shrnout následujícími body:</w:t>
      </w:r>
    </w:p>
    <w:p w14:paraId="58A1B70D" w14:textId="77777777" w:rsidR="001B4719" w:rsidRDefault="001B4719" w:rsidP="001B4719">
      <w:pPr>
        <w:pStyle w:val="Odrka1"/>
        <w:jc w:val="both"/>
      </w:pPr>
      <w:r>
        <w:t>Nejednotný postup o</w:t>
      </w:r>
      <w:r w:rsidR="00546698">
        <w:t> </w:t>
      </w:r>
      <w:r>
        <w:t>typu řízení (Územní souhlas, Územní rozhodnutí)</w:t>
      </w:r>
    </w:p>
    <w:p w14:paraId="4EF85F63" w14:textId="77777777" w:rsidR="001B4719" w:rsidRDefault="001B4719" w:rsidP="001B4719">
      <w:pPr>
        <w:pStyle w:val="Odrka1"/>
        <w:jc w:val="both"/>
      </w:pPr>
      <w:r>
        <w:t>Nejednotné požadavky na vyjádření dotčených orgánů státní správy a</w:t>
      </w:r>
      <w:r w:rsidR="00546698">
        <w:t> </w:t>
      </w:r>
      <w:r>
        <w:t>dalších dotčených subjekt/úřadů (viz předchozí bod), například v</w:t>
      </w:r>
      <w:r w:rsidR="00546698">
        <w:t> </w:t>
      </w:r>
      <w:r>
        <w:t>případě HZS – požadavky na požárně-bezpečnostní řešení. Dále je v</w:t>
      </w:r>
      <w:r w:rsidR="00546698">
        <w:t> </w:t>
      </w:r>
      <w:r>
        <w:t>řadě případů požadováno vyjádření, které nemá pro daný účel smysluplnou relevanci (např. hygiena)</w:t>
      </w:r>
    </w:p>
    <w:p w14:paraId="297047DC" w14:textId="77777777" w:rsidR="001B4719" w:rsidRDefault="001B4719" w:rsidP="001B4719">
      <w:pPr>
        <w:pStyle w:val="Odrka1"/>
        <w:jc w:val="both"/>
      </w:pPr>
      <w:r>
        <w:t>Nedodržování lhůt pro správní řízení, což je v</w:t>
      </w:r>
      <w:r w:rsidR="00546698">
        <w:t> </w:t>
      </w:r>
      <w:r>
        <w:t>řadě případů řešeno procesními průtahy (jako zbytečným přerušováním řízení nebo pokládáním dotazů na něco, co předaná dokumentace obsahuje)</w:t>
      </w:r>
    </w:p>
    <w:p w14:paraId="5381962B" w14:textId="77777777" w:rsidR="001B4719" w:rsidRDefault="001B4719" w:rsidP="001B4719">
      <w:pPr>
        <w:pStyle w:val="Nadpis4"/>
        <w:numPr>
          <w:ilvl w:val="3"/>
          <w:numId w:val="9"/>
        </w:numPr>
        <w:jc w:val="both"/>
      </w:pPr>
      <w:bookmarkStart w:id="185" w:name="_Toc25136789"/>
      <w:bookmarkStart w:id="186" w:name="_Toc34295915"/>
      <w:r w:rsidRPr="00045F42">
        <w:t>Podpora</w:t>
      </w:r>
      <w:r>
        <w:t xml:space="preserve"> elektromobility v</w:t>
      </w:r>
      <w:r w:rsidR="00546698">
        <w:t> </w:t>
      </w:r>
      <w:r>
        <w:t>jiných členských státech EU</w:t>
      </w:r>
      <w:bookmarkEnd w:id="185"/>
      <w:bookmarkEnd w:id="186"/>
    </w:p>
    <w:p w14:paraId="2D6AC1E5" w14:textId="77777777" w:rsidR="001B4719" w:rsidRPr="009B0055" w:rsidRDefault="001B4719" w:rsidP="001B4719">
      <w:pPr>
        <w:jc w:val="both"/>
        <w:rPr>
          <w:rFonts w:cstheme="minorHAnsi"/>
        </w:rPr>
      </w:pPr>
      <w:r w:rsidRPr="009B0055">
        <w:rPr>
          <w:rFonts w:cstheme="minorHAnsi"/>
        </w:rPr>
        <w:t>Již v</w:t>
      </w:r>
      <w:r w:rsidR="00546698">
        <w:rPr>
          <w:rFonts w:cstheme="minorHAnsi"/>
        </w:rPr>
        <w:t> </w:t>
      </w:r>
      <w:r w:rsidRPr="009B0055">
        <w:rPr>
          <w:rFonts w:cstheme="minorHAnsi"/>
        </w:rPr>
        <w:t>rámci původního NAP CM byly identifikovány některé hlavní trendy, pokud jde o</w:t>
      </w:r>
      <w:r w:rsidR="00546698">
        <w:rPr>
          <w:rFonts w:cstheme="minorHAnsi"/>
        </w:rPr>
        <w:t> </w:t>
      </w:r>
      <w:r w:rsidRPr="009B0055">
        <w:rPr>
          <w:rFonts w:cstheme="minorHAnsi"/>
        </w:rPr>
        <w:t>podporu elektromobility v</w:t>
      </w:r>
      <w:r w:rsidR="00546698">
        <w:rPr>
          <w:rFonts w:cstheme="minorHAnsi"/>
        </w:rPr>
        <w:t> </w:t>
      </w:r>
      <w:r w:rsidRPr="009B0055">
        <w:rPr>
          <w:rFonts w:cstheme="minorHAnsi"/>
        </w:rPr>
        <w:t>jiných státech EU. S</w:t>
      </w:r>
      <w:r w:rsidR="00546698">
        <w:rPr>
          <w:rFonts w:cstheme="minorHAnsi"/>
        </w:rPr>
        <w:t> </w:t>
      </w:r>
      <w:r w:rsidRPr="009B0055">
        <w:rPr>
          <w:rFonts w:cstheme="minorHAnsi"/>
        </w:rPr>
        <w:t xml:space="preserve">ohledem na skutečnost, že je ČR od května 2016 zapojena do neformální platformy vybraných členských států zvané </w:t>
      </w:r>
      <w:r w:rsidRPr="009B70A8">
        <w:rPr>
          <w:rFonts w:cstheme="minorHAnsi"/>
        </w:rPr>
        <w:t>„</w:t>
      </w:r>
      <w:r w:rsidRPr="002725B2">
        <w:rPr>
          <w:rFonts w:cstheme="minorHAnsi"/>
        </w:rPr>
        <w:t>Governmental</w:t>
      </w:r>
      <w:r w:rsidRPr="009B70A8">
        <w:rPr>
          <w:rFonts w:cstheme="minorHAnsi"/>
        </w:rPr>
        <w:t xml:space="preserve"> support group“</w:t>
      </w:r>
      <w:r w:rsidRPr="009B0055">
        <w:rPr>
          <w:rFonts w:cstheme="minorHAnsi"/>
        </w:rPr>
        <w:t xml:space="preserve"> (GSG), má v</w:t>
      </w:r>
      <w:r w:rsidR="00546698">
        <w:rPr>
          <w:rFonts w:cstheme="minorHAnsi"/>
        </w:rPr>
        <w:t> </w:t>
      </w:r>
      <w:r w:rsidRPr="009B0055">
        <w:rPr>
          <w:rFonts w:cstheme="minorHAnsi"/>
        </w:rPr>
        <w:t>tuto chvíli v</w:t>
      </w:r>
      <w:r w:rsidR="00546698">
        <w:rPr>
          <w:rFonts w:cstheme="minorHAnsi"/>
        </w:rPr>
        <w:t> </w:t>
      </w:r>
      <w:r w:rsidRPr="009B0055">
        <w:rPr>
          <w:rFonts w:cstheme="minorHAnsi"/>
        </w:rPr>
        <w:t>této oblasti mnohem bohatší poznatky, jež lze využít i</w:t>
      </w:r>
      <w:r w:rsidR="00546698">
        <w:rPr>
          <w:rFonts w:cstheme="minorHAnsi"/>
        </w:rPr>
        <w:t> </w:t>
      </w:r>
      <w:r w:rsidRPr="009B0055">
        <w:rPr>
          <w:rFonts w:cstheme="minorHAnsi"/>
        </w:rPr>
        <w:t>jako určitou inspiraci či dodatečnou argumentaci pro budoucí podpůrná opatření na</w:t>
      </w:r>
      <w:r>
        <w:rPr>
          <w:rFonts w:cstheme="minorHAnsi"/>
        </w:rPr>
        <w:t xml:space="preserve"> podporu elektromobility v</w:t>
      </w:r>
      <w:r w:rsidR="00546698">
        <w:rPr>
          <w:rFonts w:cstheme="minorHAnsi"/>
        </w:rPr>
        <w:t> </w:t>
      </w:r>
      <w:r>
        <w:rPr>
          <w:rFonts w:cstheme="minorHAnsi"/>
        </w:rPr>
        <w:t>ČR.</w:t>
      </w:r>
    </w:p>
    <w:p w14:paraId="739D3299" w14:textId="77777777" w:rsidR="000050AA" w:rsidRPr="000050AA" w:rsidRDefault="001B4719" w:rsidP="000050AA">
      <w:pPr>
        <w:jc w:val="both"/>
        <w:rPr>
          <w:rFonts w:cstheme="minorHAnsi"/>
        </w:rPr>
      </w:pPr>
      <w:r w:rsidRPr="009B0055">
        <w:rPr>
          <w:rFonts w:cstheme="minorHAnsi"/>
        </w:rPr>
        <w:t xml:space="preserve">Obecně lze konstatovat, že řada členských států EU má širší škálu podpůrných nástrojů na podporu elektromobility než ČR. </w:t>
      </w:r>
      <w:r w:rsidRPr="009B0055">
        <w:rPr>
          <w:rFonts w:cstheme="minorHAnsi"/>
          <w:u w:val="single"/>
        </w:rPr>
        <w:t>Nejvyužívanějšími jsou opatření na přímou či nepřímou (daňovou) podporu nákupu elektrických vozidel.</w:t>
      </w:r>
      <w:r w:rsidRPr="009B0055">
        <w:rPr>
          <w:rFonts w:cstheme="minorHAnsi"/>
        </w:rPr>
        <w:t xml:space="preserve"> Širší systém daňových úlev pro elektromobily přitom platí téměř ve všech členských státech EU (s výjimkou Polska, Litvy, Estonska, Slovinska a</w:t>
      </w:r>
      <w:r w:rsidR="00546698">
        <w:rPr>
          <w:rFonts w:cstheme="minorHAnsi"/>
        </w:rPr>
        <w:t> </w:t>
      </w:r>
      <w:r w:rsidRPr="009B0055">
        <w:rPr>
          <w:rFonts w:cstheme="minorHAnsi"/>
        </w:rPr>
        <w:t xml:space="preserve">Chorvatska). Přehled daňových úlev pro elektrická vozidla ve státech EU je uveden </w:t>
      </w:r>
      <w:r>
        <w:rPr>
          <w:rFonts w:cstheme="minorHAnsi"/>
        </w:rPr>
        <w:t>v</w:t>
      </w:r>
      <w:r w:rsidR="00546698">
        <w:rPr>
          <w:rFonts w:cstheme="minorHAnsi"/>
        </w:rPr>
        <w:t> </w:t>
      </w:r>
      <w:r>
        <w:rPr>
          <w:rFonts w:cstheme="minorHAnsi"/>
        </w:rPr>
        <w:t>tabulce níže.</w:t>
      </w:r>
    </w:p>
    <w:p w14:paraId="70AB1190" w14:textId="77777777" w:rsidR="000050AA" w:rsidRDefault="000050AA" w:rsidP="000050AA">
      <w:pPr>
        <w:pStyle w:val="Titulek"/>
        <w:keepNext/>
      </w:pPr>
      <w:bookmarkStart w:id="187" w:name="_Toc34295860"/>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w:t>
      </w:r>
      <w:r w:rsidR="001614BC">
        <w:rPr>
          <w:noProof/>
        </w:rPr>
        <w:fldChar w:fldCharType="end"/>
      </w:r>
      <w:r w:rsidRPr="000050AA">
        <w:t xml:space="preserve"> </w:t>
      </w:r>
      <w:r>
        <w:t>Přehled daňových úlev pro elektrická vozidla v</w:t>
      </w:r>
      <w:r w:rsidR="00546698">
        <w:t> </w:t>
      </w:r>
      <w:r>
        <w:t>rámci EU</w:t>
      </w:r>
      <w:bookmarkEnd w:id="187"/>
    </w:p>
    <w:tbl>
      <w:tblPr>
        <w:tblW w:w="89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96"/>
        <w:gridCol w:w="7230"/>
      </w:tblGrid>
      <w:tr w:rsidR="001B4719" w:rsidRPr="009B0055" w14:paraId="290999A5" w14:textId="77777777" w:rsidTr="000050AA">
        <w:trPr>
          <w:tblHeader/>
        </w:trPr>
        <w:tc>
          <w:tcPr>
            <w:tcW w:w="1696" w:type="dxa"/>
            <w:shd w:val="clear" w:color="auto" w:fill="548DD4"/>
            <w:vAlign w:val="center"/>
          </w:tcPr>
          <w:p w14:paraId="6DCDB66C" w14:textId="77777777" w:rsidR="001B4719" w:rsidRPr="008318A8" w:rsidRDefault="001B4719" w:rsidP="000050AA">
            <w:pPr>
              <w:jc w:val="both"/>
              <w:rPr>
                <w:rFonts w:cstheme="minorHAnsi"/>
                <w:b/>
                <w:color w:val="FFFFFF" w:themeColor="background1"/>
              </w:rPr>
            </w:pPr>
            <w:r w:rsidRPr="008318A8">
              <w:rPr>
                <w:rFonts w:cstheme="minorHAnsi"/>
                <w:b/>
                <w:color w:val="FFFFFF" w:themeColor="background1"/>
              </w:rPr>
              <w:t>Země</w:t>
            </w:r>
          </w:p>
        </w:tc>
        <w:tc>
          <w:tcPr>
            <w:tcW w:w="7230" w:type="dxa"/>
            <w:shd w:val="clear" w:color="auto" w:fill="548DD4"/>
            <w:vAlign w:val="center"/>
          </w:tcPr>
          <w:p w14:paraId="07DC49D8" w14:textId="77777777" w:rsidR="001B4719" w:rsidRPr="008318A8" w:rsidRDefault="001B4719" w:rsidP="000050AA">
            <w:pPr>
              <w:jc w:val="both"/>
              <w:rPr>
                <w:rFonts w:cstheme="minorHAnsi"/>
                <w:b/>
                <w:color w:val="FFFFFF" w:themeColor="background1"/>
              </w:rPr>
            </w:pPr>
            <w:r w:rsidRPr="008318A8">
              <w:rPr>
                <w:rFonts w:cstheme="minorHAnsi"/>
                <w:b/>
                <w:color w:val="FFFFFF" w:themeColor="background1"/>
              </w:rPr>
              <w:t>Typ daňové úlevy</w:t>
            </w:r>
          </w:p>
        </w:tc>
      </w:tr>
      <w:tr w:rsidR="001B4719" w:rsidRPr="009B0055" w14:paraId="597B85B3" w14:textId="77777777" w:rsidTr="000050AA">
        <w:trPr>
          <w:trHeight w:hRule="exact" w:val="624"/>
        </w:trPr>
        <w:tc>
          <w:tcPr>
            <w:tcW w:w="1696" w:type="dxa"/>
            <w:vAlign w:val="center"/>
          </w:tcPr>
          <w:p w14:paraId="70580EED" w14:textId="77777777" w:rsidR="001B4719" w:rsidRPr="009B0055" w:rsidRDefault="001B4719" w:rsidP="000050AA">
            <w:pPr>
              <w:jc w:val="both"/>
              <w:rPr>
                <w:rFonts w:cstheme="minorHAnsi"/>
              </w:rPr>
            </w:pPr>
            <w:r>
              <w:rPr>
                <w:rFonts w:cstheme="minorHAnsi"/>
              </w:rPr>
              <w:t>Belgie</w:t>
            </w:r>
          </w:p>
        </w:tc>
        <w:tc>
          <w:tcPr>
            <w:tcW w:w="7230" w:type="dxa"/>
            <w:vAlign w:val="center"/>
          </w:tcPr>
          <w:p w14:paraId="7D419EF1" w14:textId="77777777" w:rsidR="001B4719" w:rsidRPr="009B0055" w:rsidRDefault="001B4719" w:rsidP="00546698">
            <w:pPr>
              <w:spacing w:before="60" w:after="60"/>
              <w:jc w:val="both"/>
              <w:rPr>
                <w:rFonts w:cstheme="minorHAnsi"/>
              </w:rPr>
            </w:pPr>
            <w:r w:rsidRPr="009B0055">
              <w:rPr>
                <w:rFonts w:cstheme="minorHAnsi"/>
              </w:rPr>
              <w:t>Osvobození od registrační daně, nižší daň z</w:t>
            </w:r>
            <w:r w:rsidR="00546698">
              <w:rPr>
                <w:rFonts w:cstheme="minorHAnsi"/>
              </w:rPr>
              <w:t> </w:t>
            </w:r>
            <w:r w:rsidRPr="009B0055">
              <w:rPr>
                <w:rFonts w:cstheme="minorHAnsi"/>
              </w:rPr>
              <w:t>provozu vozidla</w:t>
            </w:r>
          </w:p>
        </w:tc>
      </w:tr>
      <w:tr w:rsidR="001B4719" w:rsidRPr="009B0055" w14:paraId="7C9F2587" w14:textId="77777777" w:rsidTr="000050AA">
        <w:trPr>
          <w:trHeight w:hRule="exact" w:val="624"/>
        </w:trPr>
        <w:tc>
          <w:tcPr>
            <w:tcW w:w="1696" w:type="dxa"/>
            <w:vAlign w:val="center"/>
          </w:tcPr>
          <w:p w14:paraId="72C5117F" w14:textId="77777777" w:rsidR="001B4719" w:rsidRPr="009B0055" w:rsidRDefault="001B4719" w:rsidP="000050AA">
            <w:pPr>
              <w:jc w:val="both"/>
              <w:rPr>
                <w:rFonts w:cstheme="minorHAnsi"/>
              </w:rPr>
            </w:pPr>
            <w:r>
              <w:rPr>
                <w:rFonts w:cstheme="minorHAnsi"/>
              </w:rPr>
              <w:t>Bulharsko</w:t>
            </w:r>
          </w:p>
        </w:tc>
        <w:tc>
          <w:tcPr>
            <w:tcW w:w="7230" w:type="dxa"/>
            <w:vAlign w:val="center"/>
          </w:tcPr>
          <w:p w14:paraId="0D3D1D71" w14:textId="77777777" w:rsidR="001B4719" w:rsidRPr="009B0055" w:rsidRDefault="001B4719" w:rsidP="00546698">
            <w:pPr>
              <w:spacing w:before="60" w:after="60"/>
              <w:jc w:val="both"/>
              <w:rPr>
                <w:rFonts w:cstheme="minorHAnsi"/>
              </w:rPr>
            </w:pPr>
            <w:r w:rsidRPr="009B0055">
              <w:rPr>
                <w:rFonts w:cstheme="minorHAnsi"/>
              </w:rPr>
              <w:t>Osvobození od daně z</w:t>
            </w:r>
            <w:r w:rsidR="00546698">
              <w:rPr>
                <w:rFonts w:cstheme="minorHAnsi"/>
              </w:rPr>
              <w:t> </w:t>
            </w:r>
            <w:r w:rsidRPr="009B0055">
              <w:rPr>
                <w:rFonts w:cstheme="minorHAnsi"/>
              </w:rPr>
              <w:t>vlastnictví motorového vozidla</w:t>
            </w:r>
          </w:p>
        </w:tc>
      </w:tr>
      <w:tr w:rsidR="001B4719" w:rsidRPr="009B0055" w14:paraId="4BBC3CC2" w14:textId="77777777" w:rsidTr="000050AA">
        <w:trPr>
          <w:trHeight w:hRule="exact" w:val="624"/>
        </w:trPr>
        <w:tc>
          <w:tcPr>
            <w:tcW w:w="1696" w:type="dxa"/>
            <w:vAlign w:val="center"/>
          </w:tcPr>
          <w:p w14:paraId="006FB611" w14:textId="77777777" w:rsidR="001B4719" w:rsidRPr="009B0055" w:rsidRDefault="001B4719" w:rsidP="000050AA">
            <w:pPr>
              <w:jc w:val="both"/>
              <w:rPr>
                <w:rFonts w:cstheme="minorHAnsi"/>
              </w:rPr>
            </w:pPr>
            <w:r w:rsidRPr="009B0055">
              <w:rPr>
                <w:rFonts w:cstheme="minorHAnsi"/>
              </w:rPr>
              <w:lastRenderedPageBreak/>
              <w:t>Dánsko</w:t>
            </w:r>
          </w:p>
        </w:tc>
        <w:tc>
          <w:tcPr>
            <w:tcW w:w="7230" w:type="dxa"/>
            <w:vAlign w:val="center"/>
          </w:tcPr>
          <w:p w14:paraId="58A84DC4" w14:textId="77777777" w:rsidR="001B4719" w:rsidRPr="009B0055" w:rsidRDefault="001B4719" w:rsidP="000050AA">
            <w:pPr>
              <w:spacing w:before="60" w:after="60"/>
              <w:jc w:val="both"/>
              <w:rPr>
                <w:rFonts w:cstheme="minorHAnsi"/>
              </w:rPr>
            </w:pPr>
            <w:r w:rsidRPr="009B0055">
              <w:rPr>
                <w:rFonts w:cstheme="minorHAnsi"/>
              </w:rPr>
              <w:t>Registrační daň pouze ve výši 40</w:t>
            </w:r>
            <w:r>
              <w:rPr>
                <w:rFonts w:cstheme="minorHAnsi"/>
              </w:rPr>
              <w:t xml:space="preserve"> </w:t>
            </w:r>
            <w:r w:rsidRPr="009B0055">
              <w:rPr>
                <w:rFonts w:cstheme="minorHAnsi"/>
              </w:rPr>
              <w:t>%</w:t>
            </w:r>
          </w:p>
        </w:tc>
      </w:tr>
      <w:tr w:rsidR="001B4719" w:rsidRPr="009B0055" w14:paraId="5AB9E415" w14:textId="77777777" w:rsidTr="000050AA">
        <w:trPr>
          <w:trHeight w:hRule="exact" w:val="624"/>
        </w:trPr>
        <w:tc>
          <w:tcPr>
            <w:tcW w:w="1696" w:type="dxa"/>
            <w:vAlign w:val="center"/>
          </w:tcPr>
          <w:p w14:paraId="0F73BAA4" w14:textId="77777777" w:rsidR="001B4719" w:rsidRPr="009B0055" w:rsidRDefault="001B4719" w:rsidP="000050AA">
            <w:pPr>
              <w:jc w:val="both"/>
              <w:rPr>
                <w:rFonts w:cstheme="minorHAnsi"/>
              </w:rPr>
            </w:pPr>
            <w:r>
              <w:rPr>
                <w:rFonts w:cstheme="minorHAnsi"/>
              </w:rPr>
              <w:t>Francie</w:t>
            </w:r>
          </w:p>
        </w:tc>
        <w:tc>
          <w:tcPr>
            <w:tcW w:w="7230" w:type="dxa"/>
            <w:vAlign w:val="center"/>
          </w:tcPr>
          <w:p w14:paraId="65CBE916" w14:textId="77777777" w:rsidR="001B4719" w:rsidRPr="009B0055" w:rsidRDefault="001B4719" w:rsidP="00546698">
            <w:pPr>
              <w:spacing w:before="60" w:after="60"/>
              <w:jc w:val="both"/>
              <w:rPr>
                <w:rFonts w:cstheme="minorHAnsi"/>
              </w:rPr>
            </w:pPr>
            <w:r w:rsidRPr="009B0055">
              <w:rPr>
                <w:rFonts w:cstheme="minorHAnsi"/>
              </w:rPr>
              <w:t>Osvobození z</w:t>
            </w:r>
            <w:r w:rsidR="00546698">
              <w:rPr>
                <w:rFonts w:cstheme="minorHAnsi"/>
              </w:rPr>
              <w:t> </w:t>
            </w:r>
            <w:r w:rsidRPr="009B0055">
              <w:rPr>
                <w:rFonts w:cstheme="minorHAnsi"/>
              </w:rPr>
              <w:t>daně z</w:t>
            </w:r>
            <w:r w:rsidR="00546698">
              <w:rPr>
                <w:rFonts w:cstheme="minorHAnsi"/>
              </w:rPr>
              <w:t> </w:t>
            </w:r>
            <w:r w:rsidRPr="009B0055">
              <w:rPr>
                <w:rFonts w:cstheme="minorHAnsi"/>
              </w:rPr>
              <w:t>provozu firemních vozidel, osvobození od regist</w:t>
            </w:r>
            <w:r>
              <w:rPr>
                <w:rFonts w:cstheme="minorHAnsi"/>
              </w:rPr>
              <w:t>rační daně (na lokální úrovni)</w:t>
            </w:r>
          </w:p>
        </w:tc>
      </w:tr>
      <w:tr w:rsidR="001B4719" w:rsidRPr="009B0055" w14:paraId="43492E18" w14:textId="77777777" w:rsidTr="000050AA">
        <w:trPr>
          <w:trHeight w:hRule="exact" w:val="624"/>
        </w:trPr>
        <w:tc>
          <w:tcPr>
            <w:tcW w:w="1696" w:type="dxa"/>
            <w:vAlign w:val="center"/>
          </w:tcPr>
          <w:p w14:paraId="286FD378" w14:textId="77777777" w:rsidR="001B4719" w:rsidRPr="009B0055" w:rsidRDefault="001B4719" w:rsidP="000050AA">
            <w:pPr>
              <w:jc w:val="both"/>
              <w:rPr>
                <w:rFonts w:cstheme="minorHAnsi"/>
              </w:rPr>
            </w:pPr>
            <w:r>
              <w:rPr>
                <w:rFonts w:cstheme="minorHAnsi"/>
              </w:rPr>
              <w:t>Itálie</w:t>
            </w:r>
          </w:p>
        </w:tc>
        <w:tc>
          <w:tcPr>
            <w:tcW w:w="7230" w:type="dxa"/>
            <w:vAlign w:val="center"/>
          </w:tcPr>
          <w:p w14:paraId="65107443" w14:textId="77777777" w:rsidR="001B4719" w:rsidRPr="009B0055" w:rsidRDefault="001B4719" w:rsidP="00546698">
            <w:pPr>
              <w:spacing w:before="60" w:after="60"/>
              <w:jc w:val="both"/>
              <w:rPr>
                <w:rFonts w:cstheme="minorHAnsi"/>
              </w:rPr>
            </w:pPr>
            <w:r w:rsidRPr="009B0055">
              <w:rPr>
                <w:rFonts w:cstheme="minorHAnsi"/>
              </w:rPr>
              <w:t>Osvobození od daně z</w:t>
            </w:r>
            <w:r w:rsidR="00546698">
              <w:rPr>
                <w:rFonts w:cstheme="minorHAnsi"/>
              </w:rPr>
              <w:t> </w:t>
            </w:r>
            <w:r w:rsidRPr="009B0055">
              <w:rPr>
                <w:rFonts w:cstheme="minorHAnsi"/>
              </w:rPr>
              <w:t>provozu vozidla (po dobu 5 let od nákupu vozidla/poté sleva na dani 75%)</w:t>
            </w:r>
          </w:p>
        </w:tc>
      </w:tr>
      <w:tr w:rsidR="001B4719" w:rsidRPr="009B0055" w14:paraId="1FBEDB1A" w14:textId="77777777" w:rsidTr="000050AA">
        <w:trPr>
          <w:trHeight w:hRule="exact" w:val="624"/>
        </w:trPr>
        <w:tc>
          <w:tcPr>
            <w:tcW w:w="1696" w:type="dxa"/>
            <w:vAlign w:val="center"/>
          </w:tcPr>
          <w:p w14:paraId="697A1CF1" w14:textId="77777777" w:rsidR="001B4719" w:rsidRPr="009B0055" w:rsidRDefault="001B4719" w:rsidP="000050AA">
            <w:pPr>
              <w:jc w:val="both"/>
              <w:rPr>
                <w:rFonts w:cstheme="minorHAnsi"/>
              </w:rPr>
            </w:pPr>
            <w:r>
              <w:rPr>
                <w:rFonts w:cstheme="minorHAnsi"/>
              </w:rPr>
              <w:t>Irsko</w:t>
            </w:r>
          </w:p>
        </w:tc>
        <w:tc>
          <w:tcPr>
            <w:tcW w:w="7230" w:type="dxa"/>
            <w:vAlign w:val="center"/>
          </w:tcPr>
          <w:p w14:paraId="0CB53BAC" w14:textId="77777777" w:rsidR="001B4719" w:rsidRPr="009B0055" w:rsidRDefault="001B4719" w:rsidP="00546698">
            <w:pPr>
              <w:spacing w:before="60" w:after="60"/>
              <w:jc w:val="both"/>
              <w:rPr>
                <w:rFonts w:cstheme="minorHAnsi"/>
              </w:rPr>
            </w:pPr>
            <w:r w:rsidRPr="009B0055">
              <w:rPr>
                <w:rFonts w:cstheme="minorHAnsi"/>
              </w:rPr>
              <w:t>Nižší daň z</w:t>
            </w:r>
            <w:r w:rsidR="00546698">
              <w:rPr>
                <w:rFonts w:cstheme="minorHAnsi"/>
              </w:rPr>
              <w:t> </w:t>
            </w:r>
            <w:r w:rsidRPr="009B0055">
              <w:rPr>
                <w:rFonts w:cstheme="minorHAnsi"/>
              </w:rPr>
              <w:t xml:space="preserve">provozu vozidla, osvobození od daně </w:t>
            </w:r>
            <w:r>
              <w:rPr>
                <w:rFonts w:cstheme="minorHAnsi"/>
              </w:rPr>
              <w:t>z</w:t>
            </w:r>
            <w:r w:rsidR="00546698">
              <w:rPr>
                <w:rFonts w:cstheme="minorHAnsi"/>
              </w:rPr>
              <w:t> </w:t>
            </w:r>
            <w:r>
              <w:rPr>
                <w:rFonts w:cstheme="minorHAnsi"/>
              </w:rPr>
              <w:t>nákupu vozidla</w:t>
            </w:r>
          </w:p>
        </w:tc>
      </w:tr>
      <w:tr w:rsidR="001B4719" w:rsidRPr="009B0055" w14:paraId="438402E5" w14:textId="77777777" w:rsidTr="000050AA">
        <w:trPr>
          <w:trHeight w:hRule="exact" w:val="624"/>
        </w:trPr>
        <w:tc>
          <w:tcPr>
            <w:tcW w:w="1696" w:type="dxa"/>
            <w:vAlign w:val="center"/>
          </w:tcPr>
          <w:p w14:paraId="77E82EF6" w14:textId="77777777" w:rsidR="001B4719" w:rsidRPr="009B0055" w:rsidRDefault="001B4719" w:rsidP="000050AA">
            <w:pPr>
              <w:jc w:val="both"/>
              <w:rPr>
                <w:rFonts w:cstheme="minorHAnsi"/>
              </w:rPr>
            </w:pPr>
            <w:r>
              <w:rPr>
                <w:rFonts w:cstheme="minorHAnsi"/>
              </w:rPr>
              <w:t>Lucembursko</w:t>
            </w:r>
          </w:p>
        </w:tc>
        <w:tc>
          <w:tcPr>
            <w:tcW w:w="7230" w:type="dxa"/>
            <w:vAlign w:val="center"/>
          </w:tcPr>
          <w:p w14:paraId="215E8E40" w14:textId="77777777" w:rsidR="001B4719" w:rsidRPr="009B0055" w:rsidRDefault="001B4719" w:rsidP="00546698">
            <w:pPr>
              <w:spacing w:before="60" w:after="60"/>
              <w:jc w:val="both"/>
              <w:rPr>
                <w:rFonts w:cstheme="minorHAnsi"/>
              </w:rPr>
            </w:pPr>
            <w:r w:rsidRPr="009B0055">
              <w:rPr>
                <w:rFonts w:cstheme="minorHAnsi"/>
              </w:rPr>
              <w:t>Nižší daň z</w:t>
            </w:r>
            <w:r w:rsidR="00546698">
              <w:rPr>
                <w:rFonts w:cstheme="minorHAnsi"/>
              </w:rPr>
              <w:t> </w:t>
            </w:r>
            <w:r w:rsidRPr="009B0055">
              <w:rPr>
                <w:rFonts w:cstheme="minorHAnsi"/>
              </w:rPr>
              <w:t>provozu vozidla a</w:t>
            </w:r>
            <w:r w:rsidR="00546698">
              <w:rPr>
                <w:rFonts w:cstheme="minorHAnsi"/>
              </w:rPr>
              <w:t> </w:t>
            </w:r>
            <w:r w:rsidRPr="009B0055">
              <w:rPr>
                <w:rFonts w:cstheme="minorHAnsi"/>
              </w:rPr>
              <w:t>daň z</w:t>
            </w:r>
            <w:r w:rsidR="00546698">
              <w:rPr>
                <w:rFonts w:cstheme="minorHAnsi"/>
              </w:rPr>
              <w:t> </w:t>
            </w:r>
            <w:r w:rsidRPr="009B0055">
              <w:rPr>
                <w:rFonts w:cstheme="minorHAnsi"/>
              </w:rPr>
              <w:t>provozu fi</w:t>
            </w:r>
            <w:r>
              <w:rPr>
                <w:rFonts w:cstheme="minorHAnsi"/>
              </w:rPr>
              <w:t>remních vozidel (zde jen u</w:t>
            </w:r>
            <w:r w:rsidR="00546698">
              <w:rPr>
                <w:rFonts w:cstheme="minorHAnsi"/>
              </w:rPr>
              <w:t> </w:t>
            </w:r>
            <w:r>
              <w:rPr>
                <w:rFonts w:cstheme="minorHAnsi"/>
              </w:rPr>
              <w:t>BEV)</w:t>
            </w:r>
          </w:p>
        </w:tc>
      </w:tr>
      <w:tr w:rsidR="001B4719" w:rsidRPr="009B0055" w14:paraId="008ECBB3" w14:textId="77777777" w:rsidTr="000050AA">
        <w:trPr>
          <w:trHeight w:hRule="exact" w:val="624"/>
        </w:trPr>
        <w:tc>
          <w:tcPr>
            <w:tcW w:w="1696" w:type="dxa"/>
            <w:vAlign w:val="center"/>
          </w:tcPr>
          <w:p w14:paraId="3A6FD645" w14:textId="77777777" w:rsidR="001B4719" w:rsidRPr="009B0055" w:rsidRDefault="001B4719" w:rsidP="000050AA">
            <w:pPr>
              <w:jc w:val="both"/>
              <w:rPr>
                <w:rFonts w:cstheme="minorHAnsi"/>
              </w:rPr>
            </w:pPr>
            <w:r>
              <w:rPr>
                <w:rFonts w:cstheme="minorHAnsi"/>
              </w:rPr>
              <w:t>Nizozemsko</w:t>
            </w:r>
          </w:p>
        </w:tc>
        <w:tc>
          <w:tcPr>
            <w:tcW w:w="7230" w:type="dxa"/>
            <w:vAlign w:val="center"/>
          </w:tcPr>
          <w:p w14:paraId="6F7BEF0D" w14:textId="77777777" w:rsidR="001B4719" w:rsidRPr="009B0055" w:rsidRDefault="001B4719" w:rsidP="00546698">
            <w:pPr>
              <w:spacing w:before="60" w:after="60"/>
              <w:jc w:val="both"/>
              <w:rPr>
                <w:rFonts w:cstheme="minorHAnsi"/>
              </w:rPr>
            </w:pPr>
            <w:r w:rsidRPr="009B0055">
              <w:rPr>
                <w:rFonts w:cstheme="minorHAnsi"/>
              </w:rPr>
              <w:t>Osvobození od registrační d</w:t>
            </w:r>
            <w:r>
              <w:rPr>
                <w:rFonts w:cstheme="minorHAnsi"/>
              </w:rPr>
              <w:t>aně a</w:t>
            </w:r>
            <w:r w:rsidR="00546698">
              <w:rPr>
                <w:rFonts w:cstheme="minorHAnsi"/>
              </w:rPr>
              <w:t> </w:t>
            </w:r>
            <w:r>
              <w:rPr>
                <w:rFonts w:cstheme="minorHAnsi"/>
              </w:rPr>
              <w:t>daně z</w:t>
            </w:r>
            <w:r w:rsidR="00546698">
              <w:rPr>
                <w:rFonts w:cstheme="minorHAnsi"/>
              </w:rPr>
              <w:t> </w:t>
            </w:r>
            <w:r>
              <w:rPr>
                <w:rFonts w:cstheme="minorHAnsi"/>
              </w:rPr>
              <w:t>motorového vozidla</w:t>
            </w:r>
          </w:p>
        </w:tc>
      </w:tr>
      <w:tr w:rsidR="001B4719" w:rsidRPr="009B0055" w14:paraId="1FE36C58" w14:textId="77777777" w:rsidTr="000050AA">
        <w:trPr>
          <w:trHeight w:hRule="exact" w:val="624"/>
        </w:trPr>
        <w:tc>
          <w:tcPr>
            <w:tcW w:w="1696" w:type="dxa"/>
            <w:vAlign w:val="center"/>
          </w:tcPr>
          <w:p w14:paraId="01293CD1" w14:textId="77777777" w:rsidR="001B4719" w:rsidRPr="009B0055" w:rsidRDefault="001B4719" w:rsidP="000050AA">
            <w:pPr>
              <w:jc w:val="both"/>
              <w:rPr>
                <w:rFonts w:cstheme="minorHAnsi"/>
              </w:rPr>
            </w:pPr>
            <w:r>
              <w:rPr>
                <w:rFonts w:cstheme="minorHAnsi"/>
              </w:rPr>
              <w:t>Německo</w:t>
            </w:r>
          </w:p>
        </w:tc>
        <w:tc>
          <w:tcPr>
            <w:tcW w:w="7230" w:type="dxa"/>
            <w:vAlign w:val="center"/>
          </w:tcPr>
          <w:p w14:paraId="260EC68A" w14:textId="77777777" w:rsidR="001B4719" w:rsidRPr="009B0055" w:rsidRDefault="001B4719" w:rsidP="00546698">
            <w:pPr>
              <w:spacing w:before="60" w:after="60"/>
              <w:jc w:val="both"/>
              <w:rPr>
                <w:rFonts w:cstheme="minorHAnsi"/>
              </w:rPr>
            </w:pPr>
            <w:r w:rsidRPr="009B0055">
              <w:rPr>
                <w:rFonts w:cstheme="minorHAnsi"/>
              </w:rPr>
              <w:t>Osvobození od daně z</w:t>
            </w:r>
            <w:r w:rsidR="00546698">
              <w:rPr>
                <w:rFonts w:cstheme="minorHAnsi"/>
              </w:rPr>
              <w:t> </w:t>
            </w:r>
            <w:r w:rsidRPr="009B0055">
              <w:rPr>
                <w:rFonts w:cstheme="minorHAnsi"/>
              </w:rPr>
              <w:t>provozu vozidla (po dobu 10 let od nákupu vozidla)</w:t>
            </w:r>
          </w:p>
        </w:tc>
      </w:tr>
      <w:tr w:rsidR="001B4719" w:rsidRPr="009B0055" w14:paraId="6BC4D302" w14:textId="77777777" w:rsidTr="000050AA">
        <w:trPr>
          <w:trHeight w:hRule="exact" w:val="624"/>
        </w:trPr>
        <w:tc>
          <w:tcPr>
            <w:tcW w:w="1696" w:type="dxa"/>
            <w:vAlign w:val="center"/>
          </w:tcPr>
          <w:p w14:paraId="72C02CBE" w14:textId="77777777" w:rsidR="001B4719" w:rsidRPr="009B0055" w:rsidRDefault="001B4719" w:rsidP="000050AA">
            <w:pPr>
              <w:jc w:val="both"/>
              <w:rPr>
                <w:rFonts w:cstheme="minorHAnsi"/>
              </w:rPr>
            </w:pPr>
            <w:r>
              <w:rPr>
                <w:rFonts w:cstheme="minorHAnsi"/>
              </w:rPr>
              <w:t>Maďarsko</w:t>
            </w:r>
          </w:p>
        </w:tc>
        <w:tc>
          <w:tcPr>
            <w:tcW w:w="7230" w:type="dxa"/>
            <w:vAlign w:val="center"/>
          </w:tcPr>
          <w:p w14:paraId="51816321" w14:textId="77777777" w:rsidR="001B4719" w:rsidRPr="009B0055" w:rsidRDefault="001B4719" w:rsidP="00546698">
            <w:pPr>
              <w:spacing w:before="60" w:after="60"/>
              <w:jc w:val="both"/>
              <w:rPr>
                <w:rFonts w:cstheme="minorHAnsi"/>
              </w:rPr>
            </w:pPr>
            <w:r w:rsidRPr="009B0055">
              <w:rPr>
                <w:rFonts w:cstheme="minorHAnsi"/>
              </w:rPr>
              <w:t>Osvobození od registrační daně, daně z</w:t>
            </w:r>
            <w:r w:rsidR="00546698">
              <w:rPr>
                <w:rFonts w:cstheme="minorHAnsi"/>
              </w:rPr>
              <w:t> </w:t>
            </w:r>
            <w:r w:rsidRPr="009B0055">
              <w:rPr>
                <w:rFonts w:cstheme="minorHAnsi"/>
              </w:rPr>
              <w:t>provozu vozidla a</w:t>
            </w:r>
            <w:r w:rsidR="00546698">
              <w:rPr>
                <w:rFonts w:cstheme="minorHAnsi"/>
              </w:rPr>
              <w:t> </w:t>
            </w:r>
            <w:r w:rsidRPr="009B0055">
              <w:rPr>
                <w:rFonts w:cstheme="minorHAnsi"/>
              </w:rPr>
              <w:t>daně z</w:t>
            </w:r>
            <w:r w:rsidR="00546698">
              <w:rPr>
                <w:rFonts w:cstheme="minorHAnsi"/>
              </w:rPr>
              <w:t> </w:t>
            </w:r>
            <w:r w:rsidRPr="009B0055">
              <w:rPr>
                <w:rFonts w:cstheme="minorHAnsi"/>
              </w:rPr>
              <w:t>provozu</w:t>
            </w:r>
            <w:r>
              <w:rPr>
                <w:rFonts w:cstheme="minorHAnsi"/>
              </w:rPr>
              <w:t xml:space="preserve"> firemních vozidel</w:t>
            </w:r>
          </w:p>
        </w:tc>
      </w:tr>
      <w:tr w:rsidR="001B4719" w:rsidRPr="009B0055" w14:paraId="7660155A" w14:textId="77777777" w:rsidTr="000050AA">
        <w:trPr>
          <w:trHeight w:hRule="exact" w:val="624"/>
        </w:trPr>
        <w:tc>
          <w:tcPr>
            <w:tcW w:w="1696" w:type="dxa"/>
            <w:vAlign w:val="center"/>
          </w:tcPr>
          <w:p w14:paraId="78DFF4C0" w14:textId="77777777" w:rsidR="001B4719" w:rsidRPr="009B0055" w:rsidRDefault="001B4719" w:rsidP="000050AA">
            <w:pPr>
              <w:jc w:val="both"/>
              <w:rPr>
                <w:rFonts w:cstheme="minorHAnsi"/>
              </w:rPr>
            </w:pPr>
            <w:r>
              <w:rPr>
                <w:rFonts w:cstheme="minorHAnsi"/>
              </w:rPr>
              <w:t>Portugalsko</w:t>
            </w:r>
          </w:p>
        </w:tc>
        <w:tc>
          <w:tcPr>
            <w:tcW w:w="7230" w:type="dxa"/>
            <w:vAlign w:val="center"/>
          </w:tcPr>
          <w:p w14:paraId="42BD61DC" w14:textId="77777777" w:rsidR="001B4719" w:rsidRPr="009B0055" w:rsidRDefault="001B4719" w:rsidP="000050AA">
            <w:pPr>
              <w:spacing w:before="60" w:after="60"/>
              <w:jc w:val="both"/>
              <w:rPr>
                <w:rFonts w:cstheme="minorHAnsi"/>
              </w:rPr>
            </w:pPr>
            <w:r w:rsidRPr="009B0055">
              <w:rPr>
                <w:rFonts w:cstheme="minorHAnsi"/>
              </w:rPr>
              <w:t>Osvobození od registrační daně (pro PHEV 75% s</w:t>
            </w:r>
            <w:r>
              <w:rPr>
                <w:rFonts w:cstheme="minorHAnsi"/>
              </w:rPr>
              <w:t>leva na dani), odečitatelná DPH</w:t>
            </w:r>
          </w:p>
        </w:tc>
      </w:tr>
      <w:tr w:rsidR="001B4719" w:rsidRPr="009B0055" w14:paraId="22902EFF" w14:textId="77777777" w:rsidTr="000050AA">
        <w:trPr>
          <w:trHeight w:hRule="exact" w:val="624"/>
        </w:trPr>
        <w:tc>
          <w:tcPr>
            <w:tcW w:w="1696" w:type="dxa"/>
            <w:vAlign w:val="center"/>
          </w:tcPr>
          <w:p w14:paraId="5F201521" w14:textId="77777777" w:rsidR="001B4719" w:rsidRPr="009B0055" w:rsidRDefault="001B4719" w:rsidP="000050AA">
            <w:pPr>
              <w:jc w:val="both"/>
              <w:rPr>
                <w:rFonts w:cstheme="minorHAnsi"/>
              </w:rPr>
            </w:pPr>
            <w:r>
              <w:rPr>
                <w:rFonts w:cstheme="minorHAnsi"/>
              </w:rPr>
              <w:t>Rumunsko</w:t>
            </w:r>
          </w:p>
        </w:tc>
        <w:tc>
          <w:tcPr>
            <w:tcW w:w="7230" w:type="dxa"/>
            <w:vAlign w:val="center"/>
          </w:tcPr>
          <w:p w14:paraId="6CD78181" w14:textId="77777777" w:rsidR="001B4719" w:rsidRPr="009B0055" w:rsidRDefault="001B4719" w:rsidP="00546698">
            <w:pPr>
              <w:spacing w:before="60" w:after="60"/>
              <w:jc w:val="both"/>
              <w:rPr>
                <w:rFonts w:cstheme="minorHAnsi"/>
              </w:rPr>
            </w:pPr>
            <w:r w:rsidRPr="009B0055">
              <w:rPr>
                <w:rFonts w:cstheme="minorHAnsi"/>
              </w:rPr>
              <w:t>Osvobození od daně z</w:t>
            </w:r>
            <w:r w:rsidR="00546698">
              <w:rPr>
                <w:rFonts w:cstheme="minorHAnsi"/>
              </w:rPr>
              <w:t> </w:t>
            </w:r>
            <w:r w:rsidRPr="009B0055">
              <w:rPr>
                <w:rFonts w:cstheme="minorHAnsi"/>
              </w:rPr>
              <w:t xml:space="preserve">vlastnictví </w:t>
            </w:r>
            <w:r>
              <w:rPr>
                <w:rFonts w:cstheme="minorHAnsi"/>
              </w:rPr>
              <w:t>motorového vozidla</w:t>
            </w:r>
          </w:p>
        </w:tc>
      </w:tr>
      <w:tr w:rsidR="001B4719" w:rsidRPr="009B0055" w14:paraId="0F727967" w14:textId="77777777" w:rsidTr="000050AA">
        <w:trPr>
          <w:trHeight w:hRule="exact" w:val="624"/>
        </w:trPr>
        <w:tc>
          <w:tcPr>
            <w:tcW w:w="1696" w:type="dxa"/>
            <w:vAlign w:val="center"/>
          </w:tcPr>
          <w:p w14:paraId="1067AD4E" w14:textId="77777777" w:rsidR="001B4719" w:rsidRPr="009B0055" w:rsidRDefault="001B4719" w:rsidP="000050AA">
            <w:pPr>
              <w:jc w:val="both"/>
              <w:rPr>
                <w:rFonts w:cstheme="minorHAnsi"/>
              </w:rPr>
            </w:pPr>
            <w:r>
              <w:rPr>
                <w:rFonts w:cstheme="minorHAnsi"/>
              </w:rPr>
              <w:t>Řecko</w:t>
            </w:r>
          </w:p>
        </w:tc>
        <w:tc>
          <w:tcPr>
            <w:tcW w:w="7230" w:type="dxa"/>
            <w:vAlign w:val="center"/>
          </w:tcPr>
          <w:p w14:paraId="74703371" w14:textId="77777777" w:rsidR="001B4719" w:rsidRPr="009B0055" w:rsidRDefault="001B4719" w:rsidP="000050AA">
            <w:pPr>
              <w:spacing w:before="60" w:after="60"/>
              <w:jc w:val="both"/>
              <w:rPr>
                <w:rFonts w:cstheme="minorHAnsi"/>
              </w:rPr>
            </w:pPr>
            <w:r w:rsidRPr="009B0055">
              <w:rPr>
                <w:rFonts w:cstheme="minorHAnsi"/>
              </w:rPr>
              <w:t>Osvobození od registrační daně</w:t>
            </w:r>
          </w:p>
        </w:tc>
      </w:tr>
      <w:tr w:rsidR="001B4719" w:rsidRPr="009B0055" w14:paraId="0C2AE548" w14:textId="77777777" w:rsidTr="000050AA">
        <w:trPr>
          <w:trHeight w:hRule="exact" w:val="624"/>
        </w:trPr>
        <w:tc>
          <w:tcPr>
            <w:tcW w:w="1696" w:type="dxa"/>
            <w:vAlign w:val="center"/>
          </w:tcPr>
          <w:p w14:paraId="35A827EE" w14:textId="77777777" w:rsidR="001B4719" w:rsidRPr="009B0055" w:rsidRDefault="001B4719" w:rsidP="000050AA">
            <w:pPr>
              <w:jc w:val="both"/>
              <w:rPr>
                <w:rFonts w:cstheme="minorHAnsi"/>
              </w:rPr>
            </w:pPr>
            <w:r>
              <w:rPr>
                <w:rFonts w:cstheme="minorHAnsi"/>
              </w:rPr>
              <w:t>Slovensko</w:t>
            </w:r>
          </w:p>
        </w:tc>
        <w:tc>
          <w:tcPr>
            <w:tcW w:w="7230" w:type="dxa"/>
            <w:vAlign w:val="center"/>
          </w:tcPr>
          <w:p w14:paraId="0F10A231" w14:textId="77777777" w:rsidR="001B4719" w:rsidRPr="009B0055" w:rsidRDefault="001B4719" w:rsidP="00546698">
            <w:pPr>
              <w:spacing w:before="60" w:after="60"/>
              <w:jc w:val="both"/>
              <w:rPr>
                <w:rFonts w:cstheme="minorHAnsi"/>
              </w:rPr>
            </w:pPr>
            <w:r w:rsidRPr="009B0055">
              <w:rPr>
                <w:rFonts w:cstheme="minorHAnsi"/>
              </w:rPr>
              <w:t>Nízká registrační daň a</w:t>
            </w:r>
            <w:r w:rsidR="00546698">
              <w:rPr>
                <w:rFonts w:cstheme="minorHAnsi"/>
              </w:rPr>
              <w:t> </w:t>
            </w:r>
            <w:r w:rsidRPr="009B0055">
              <w:rPr>
                <w:rFonts w:cstheme="minorHAnsi"/>
              </w:rPr>
              <w:t>osvobození od daně z</w:t>
            </w:r>
            <w:r w:rsidR="00546698">
              <w:rPr>
                <w:rFonts w:cstheme="minorHAnsi"/>
              </w:rPr>
              <w:t> </w:t>
            </w:r>
            <w:r w:rsidRPr="009B0055">
              <w:rPr>
                <w:rFonts w:cstheme="minorHAnsi"/>
              </w:rPr>
              <w:t>motorových vozidel (Po</w:t>
            </w:r>
            <w:r>
              <w:rPr>
                <w:rFonts w:cstheme="minorHAnsi"/>
              </w:rPr>
              <w:t>zn.: daň platí jen podnikatelé)</w:t>
            </w:r>
          </w:p>
        </w:tc>
      </w:tr>
      <w:tr w:rsidR="001B4719" w:rsidRPr="009B0055" w14:paraId="63A82DFC" w14:textId="77777777" w:rsidTr="000050AA">
        <w:trPr>
          <w:trHeight w:hRule="exact" w:val="624"/>
        </w:trPr>
        <w:tc>
          <w:tcPr>
            <w:tcW w:w="1696" w:type="dxa"/>
            <w:vAlign w:val="center"/>
          </w:tcPr>
          <w:p w14:paraId="64AAA677" w14:textId="77777777" w:rsidR="001B4719" w:rsidRPr="009B0055" w:rsidRDefault="001B4719" w:rsidP="000050AA">
            <w:pPr>
              <w:jc w:val="both"/>
              <w:rPr>
                <w:rFonts w:cstheme="minorHAnsi"/>
              </w:rPr>
            </w:pPr>
            <w:r>
              <w:rPr>
                <w:rFonts w:cstheme="minorHAnsi"/>
              </w:rPr>
              <w:t>Velká Británie</w:t>
            </w:r>
          </w:p>
        </w:tc>
        <w:tc>
          <w:tcPr>
            <w:tcW w:w="7230" w:type="dxa"/>
            <w:vAlign w:val="center"/>
          </w:tcPr>
          <w:p w14:paraId="01C0FCA0" w14:textId="77777777" w:rsidR="001B4719" w:rsidRPr="009B0055" w:rsidRDefault="001B4719" w:rsidP="00546698">
            <w:pPr>
              <w:spacing w:before="60" w:after="60"/>
              <w:jc w:val="both"/>
              <w:rPr>
                <w:rFonts w:cstheme="minorHAnsi"/>
              </w:rPr>
            </w:pPr>
            <w:r w:rsidRPr="009B0055">
              <w:rPr>
                <w:rFonts w:cstheme="minorHAnsi"/>
              </w:rPr>
              <w:t>Osvobození od spotřební daně z</w:t>
            </w:r>
            <w:r w:rsidR="00546698">
              <w:rPr>
                <w:rFonts w:cstheme="minorHAnsi"/>
              </w:rPr>
              <w:t> </w:t>
            </w:r>
            <w:r w:rsidRPr="009B0055">
              <w:rPr>
                <w:rFonts w:cstheme="minorHAnsi"/>
              </w:rPr>
              <w:t xml:space="preserve">vozidel pro bateriová vozidla, nižší </w:t>
            </w:r>
            <w:r>
              <w:rPr>
                <w:rFonts w:cstheme="minorHAnsi"/>
              </w:rPr>
              <w:t>daň z</w:t>
            </w:r>
            <w:r w:rsidR="00546698">
              <w:rPr>
                <w:rFonts w:cstheme="minorHAnsi"/>
              </w:rPr>
              <w:t> </w:t>
            </w:r>
            <w:r>
              <w:rPr>
                <w:rFonts w:cstheme="minorHAnsi"/>
              </w:rPr>
              <w:t>provozu firemních vozidel</w:t>
            </w:r>
          </w:p>
        </w:tc>
      </w:tr>
    </w:tbl>
    <w:p w14:paraId="45F90EAA" w14:textId="77777777" w:rsidR="001B4719" w:rsidRPr="008B2066" w:rsidRDefault="001B4719" w:rsidP="001B4719">
      <w:pPr>
        <w:jc w:val="both"/>
      </w:pPr>
      <w:r w:rsidRPr="008B2066">
        <w:t>Zdroj: GSG, 2018</w:t>
      </w:r>
    </w:p>
    <w:p w14:paraId="7EB472BC" w14:textId="4F064EFE" w:rsidR="001B4719" w:rsidRPr="009B0055" w:rsidRDefault="001B4719" w:rsidP="001B4719">
      <w:pPr>
        <w:jc w:val="both"/>
        <w:rPr>
          <w:rFonts w:cstheme="minorHAnsi"/>
          <w:color w:val="292929"/>
        </w:rPr>
      </w:pPr>
      <w:r w:rsidRPr="009B0055">
        <w:rPr>
          <w:rFonts w:cstheme="minorHAnsi"/>
        </w:rPr>
        <w:t>Pokud jde o</w:t>
      </w:r>
      <w:r w:rsidR="00546698">
        <w:rPr>
          <w:rFonts w:cstheme="minorHAnsi"/>
        </w:rPr>
        <w:t> </w:t>
      </w:r>
      <w:r w:rsidRPr="009B0055">
        <w:rPr>
          <w:rFonts w:cstheme="minorHAnsi"/>
          <w:u w:val="single"/>
        </w:rPr>
        <w:t>přímou podporu nákupu vozidel</w:t>
      </w:r>
      <w:r w:rsidRPr="009B0055">
        <w:rPr>
          <w:rFonts w:cstheme="minorHAnsi"/>
        </w:rPr>
        <w:t>, ta začíná být v</w:t>
      </w:r>
      <w:r w:rsidR="00546698">
        <w:rPr>
          <w:rFonts w:cstheme="minorHAnsi"/>
        </w:rPr>
        <w:t> </w:t>
      </w:r>
      <w:r w:rsidRPr="009B0055">
        <w:rPr>
          <w:rFonts w:cstheme="minorHAnsi"/>
        </w:rPr>
        <w:t>posledních letech rovněž stále využívanější. Zdaleka přitom nejde jen o</w:t>
      </w:r>
      <w:r w:rsidR="00546698">
        <w:rPr>
          <w:rFonts w:cstheme="minorHAnsi"/>
        </w:rPr>
        <w:t> </w:t>
      </w:r>
      <w:r>
        <w:rPr>
          <w:rFonts w:cstheme="minorHAnsi"/>
        </w:rPr>
        <w:t xml:space="preserve">západoevropské země </w:t>
      </w:r>
      <w:r w:rsidRPr="009B0055">
        <w:rPr>
          <w:rFonts w:cstheme="minorHAnsi"/>
        </w:rPr>
        <w:t>(u nichž to lze možná i</w:t>
      </w:r>
      <w:r w:rsidR="00546698">
        <w:rPr>
          <w:rFonts w:cstheme="minorHAnsi"/>
        </w:rPr>
        <w:t> </w:t>
      </w:r>
      <w:r w:rsidRPr="009B0055">
        <w:rPr>
          <w:rFonts w:cstheme="minorHAnsi"/>
        </w:rPr>
        <w:t>očekávat</w:t>
      </w:r>
      <w:r w:rsidRPr="009B0055">
        <w:rPr>
          <w:rStyle w:val="Znakapoznpodarou"/>
          <w:rFonts w:cstheme="minorHAnsi"/>
        </w:rPr>
        <w:footnoteReference w:id="6"/>
      </w:r>
      <w:r w:rsidRPr="009B0055">
        <w:rPr>
          <w:rFonts w:cstheme="minorHAnsi"/>
        </w:rPr>
        <w:t>), ale i</w:t>
      </w:r>
      <w:r w:rsidR="00546698">
        <w:rPr>
          <w:rFonts w:cstheme="minorHAnsi"/>
        </w:rPr>
        <w:t> </w:t>
      </w:r>
      <w:r w:rsidRPr="009B0055">
        <w:rPr>
          <w:rFonts w:cstheme="minorHAnsi"/>
        </w:rPr>
        <w:t>řadu stát</w:t>
      </w:r>
      <w:r>
        <w:rPr>
          <w:rFonts w:cstheme="minorHAnsi"/>
        </w:rPr>
        <w:t>ů střední a</w:t>
      </w:r>
      <w:r w:rsidR="00546698">
        <w:rPr>
          <w:rFonts w:cstheme="minorHAnsi"/>
        </w:rPr>
        <w:t> </w:t>
      </w:r>
      <w:r>
        <w:rPr>
          <w:rFonts w:cstheme="minorHAnsi"/>
        </w:rPr>
        <w:t>východní Evropy</w:t>
      </w:r>
      <w:r w:rsidRPr="009B0055">
        <w:rPr>
          <w:rFonts w:cstheme="minorHAnsi"/>
        </w:rPr>
        <w:t xml:space="preserve">. </w:t>
      </w:r>
      <w:r>
        <w:rPr>
          <w:rFonts w:cstheme="minorHAnsi"/>
        </w:rPr>
        <w:t>Platí to i</w:t>
      </w:r>
      <w:r w:rsidR="00546698">
        <w:rPr>
          <w:rFonts w:cstheme="minorHAnsi"/>
        </w:rPr>
        <w:t> </w:t>
      </w:r>
      <w:r>
        <w:rPr>
          <w:rFonts w:cstheme="minorHAnsi"/>
        </w:rPr>
        <w:t>o </w:t>
      </w:r>
      <w:r w:rsidRPr="009B0055">
        <w:rPr>
          <w:rFonts w:cstheme="minorHAnsi"/>
        </w:rPr>
        <w:t>sousední</w:t>
      </w:r>
      <w:r>
        <w:rPr>
          <w:rFonts w:cstheme="minorHAnsi"/>
        </w:rPr>
        <w:t>m</w:t>
      </w:r>
      <w:r w:rsidRPr="009B0055">
        <w:rPr>
          <w:rFonts w:cstheme="minorHAnsi"/>
        </w:rPr>
        <w:t xml:space="preserve"> </w:t>
      </w:r>
      <w:r w:rsidRPr="009B0055">
        <w:rPr>
          <w:rFonts w:cstheme="minorHAnsi"/>
          <w:b/>
        </w:rPr>
        <w:t>Slovensk</w:t>
      </w:r>
      <w:r>
        <w:rPr>
          <w:rFonts w:cstheme="minorHAnsi"/>
          <w:b/>
        </w:rPr>
        <w:t>u</w:t>
      </w:r>
      <w:r w:rsidRPr="009B0055">
        <w:rPr>
          <w:rFonts w:cstheme="minorHAnsi"/>
        </w:rPr>
        <w:t>, kde</w:t>
      </w:r>
      <w:r w:rsidR="00911A05">
        <w:rPr>
          <w:rFonts w:cstheme="minorHAnsi"/>
        </w:rPr>
        <w:t xml:space="preserve"> byl</w:t>
      </w:r>
      <w:r w:rsidRPr="009B0055">
        <w:rPr>
          <w:rFonts w:cstheme="minorHAnsi"/>
        </w:rPr>
        <w:t xml:space="preserve"> </w:t>
      </w:r>
      <w:r w:rsidR="00911A05">
        <w:rPr>
          <w:rFonts w:cstheme="minorHAnsi"/>
        </w:rPr>
        <w:t>již podruhé na konci roku 2019spuštěn</w:t>
      </w:r>
      <w:r w:rsidRPr="009B0055">
        <w:rPr>
          <w:rFonts w:cstheme="minorHAnsi"/>
        </w:rPr>
        <w:t xml:space="preserve"> do</w:t>
      </w:r>
      <w:r w:rsidRPr="009B0055">
        <w:rPr>
          <w:rFonts w:cstheme="minorHAnsi"/>
          <w:color w:val="292929"/>
        </w:rPr>
        <w:t xml:space="preserve">tační program, na který slovenská vláda vyčlenila </w:t>
      </w:r>
      <w:r w:rsidR="00911A05">
        <w:rPr>
          <w:rFonts w:cstheme="minorHAnsi"/>
          <w:color w:val="292929"/>
        </w:rPr>
        <w:t>6</w:t>
      </w:r>
      <w:r w:rsidRPr="009B0055">
        <w:rPr>
          <w:rFonts w:cstheme="minorHAnsi"/>
          <w:color w:val="292929"/>
        </w:rPr>
        <w:t xml:space="preserve"> milionu </w:t>
      </w:r>
      <w:r w:rsidR="00BD293D">
        <w:rPr>
          <w:rFonts w:cstheme="minorHAnsi"/>
          <w:color w:val="292929"/>
        </w:rPr>
        <w:t>euro</w:t>
      </w:r>
      <w:r w:rsidRPr="009B0055">
        <w:rPr>
          <w:rFonts w:cstheme="minorHAnsi"/>
          <w:color w:val="292929"/>
        </w:rPr>
        <w:t xml:space="preserve"> (přes 1</w:t>
      </w:r>
      <w:r w:rsidR="00911A05">
        <w:rPr>
          <w:rFonts w:cstheme="minorHAnsi"/>
          <w:color w:val="292929"/>
        </w:rPr>
        <w:t>53</w:t>
      </w:r>
      <w:r w:rsidR="00276F69">
        <w:rPr>
          <w:rFonts w:cstheme="minorHAnsi"/>
          <w:color w:val="292929"/>
        </w:rPr>
        <w:t xml:space="preserve"> milionů Kč)</w:t>
      </w:r>
      <w:r w:rsidRPr="009B0055">
        <w:rPr>
          <w:rFonts w:cstheme="minorHAnsi"/>
          <w:color w:val="292929"/>
        </w:rPr>
        <w:t xml:space="preserve">. Příspěvek na nový bateriový elektromobil činil </w:t>
      </w:r>
      <w:r w:rsidR="00911A05">
        <w:rPr>
          <w:rFonts w:cstheme="minorHAnsi"/>
          <w:color w:val="292929"/>
        </w:rPr>
        <w:t>8</w:t>
      </w:r>
      <w:r>
        <w:rPr>
          <w:rFonts w:cstheme="minorHAnsi"/>
          <w:color w:val="292929"/>
        </w:rPr>
        <w:t xml:space="preserve"> </w:t>
      </w:r>
      <w:r w:rsidRPr="009B0055">
        <w:rPr>
          <w:rFonts w:cstheme="minorHAnsi"/>
          <w:color w:val="292929"/>
        </w:rPr>
        <w:t xml:space="preserve">000 </w:t>
      </w:r>
      <w:r>
        <w:rPr>
          <w:rFonts w:cstheme="minorHAnsi"/>
          <w:color w:val="292929"/>
        </w:rPr>
        <w:t>euro</w:t>
      </w:r>
      <w:r w:rsidRPr="009B0055">
        <w:rPr>
          <w:rFonts w:cstheme="minorHAnsi"/>
          <w:color w:val="292929"/>
        </w:rPr>
        <w:t xml:space="preserve"> (</w:t>
      </w:r>
      <w:r w:rsidR="00911A05">
        <w:rPr>
          <w:rFonts w:cstheme="minorHAnsi"/>
          <w:color w:val="292929"/>
        </w:rPr>
        <w:t>204</w:t>
      </w:r>
      <w:r>
        <w:rPr>
          <w:rFonts w:cstheme="minorHAnsi"/>
          <w:color w:val="292929"/>
        </w:rPr>
        <w:t xml:space="preserve"> </w:t>
      </w:r>
      <w:r w:rsidRPr="009B0055">
        <w:rPr>
          <w:rFonts w:cstheme="minorHAnsi"/>
          <w:color w:val="292929"/>
        </w:rPr>
        <w:t>000 Kč), u</w:t>
      </w:r>
      <w:r w:rsidR="00546698">
        <w:rPr>
          <w:rFonts w:cstheme="minorHAnsi"/>
          <w:color w:val="292929"/>
        </w:rPr>
        <w:t> </w:t>
      </w:r>
      <w:r w:rsidRPr="009B0055">
        <w:rPr>
          <w:rFonts w:cstheme="minorHAnsi"/>
          <w:color w:val="292929"/>
        </w:rPr>
        <w:t xml:space="preserve">plug-in hybridů to bylo </w:t>
      </w:r>
      <w:r w:rsidR="00911A05">
        <w:rPr>
          <w:rFonts w:cstheme="minorHAnsi"/>
          <w:color w:val="292929"/>
        </w:rPr>
        <w:t>5</w:t>
      </w:r>
      <w:r>
        <w:rPr>
          <w:rFonts w:cstheme="minorHAnsi"/>
          <w:color w:val="292929"/>
        </w:rPr>
        <w:t xml:space="preserve"> </w:t>
      </w:r>
      <w:r w:rsidRPr="009B0055">
        <w:rPr>
          <w:rFonts w:cstheme="minorHAnsi"/>
          <w:color w:val="292929"/>
        </w:rPr>
        <w:t xml:space="preserve">000 </w:t>
      </w:r>
      <w:r w:rsidR="00BD293D">
        <w:rPr>
          <w:rFonts w:cstheme="minorHAnsi"/>
          <w:color w:val="292929"/>
        </w:rPr>
        <w:t xml:space="preserve">euro </w:t>
      </w:r>
      <w:r w:rsidRPr="009B0055">
        <w:rPr>
          <w:rFonts w:cstheme="minorHAnsi"/>
          <w:color w:val="292929"/>
        </w:rPr>
        <w:t>(</w:t>
      </w:r>
      <w:r w:rsidR="00911A05">
        <w:rPr>
          <w:rFonts w:cstheme="minorHAnsi"/>
          <w:color w:val="292929"/>
        </w:rPr>
        <w:t>127</w:t>
      </w:r>
      <w:r>
        <w:rPr>
          <w:rFonts w:cstheme="minorHAnsi"/>
          <w:color w:val="292929"/>
        </w:rPr>
        <w:t xml:space="preserve"> </w:t>
      </w:r>
      <w:r w:rsidR="00911A05">
        <w:rPr>
          <w:rFonts w:cstheme="minorHAnsi"/>
          <w:color w:val="292929"/>
        </w:rPr>
        <w:t>5</w:t>
      </w:r>
      <w:r w:rsidRPr="009B0055">
        <w:rPr>
          <w:rFonts w:cstheme="minorHAnsi"/>
          <w:color w:val="292929"/>
        </w:rPr>
        <w:t>00 Kč). Žádat o</w:t>
      </w:r>
      <w:r w:rsidR="00546698">
        <w:rPr>
          <w:rFonts w:cstheme="minorHAnsi"/>
          <w:color w:val="292929"/>
        </w:rPr>
        <w:t> </w:t>
      </w:r>
      <w:r w:rsidRPr="009B0055">
        <w:rPr>
          <w:rFonts w:cstheme="minorHAnsi"/>
          <w:color w:val="292929"/>
        </w:rPr>
        <w:t>něj vedle občanů mohli i</w:t>
      </w:r>
      <w:r w:rsidR="00546698">
        <w:rPr>
          <w:rFonts w:cstheme="minorHAnsi"/>
          <w:color w:val="292929"/>
        </w:rPr>
        <w:t> </w:t>
      </w:r>
      <w:r w:rsidRPr="009B0055">
        <w:rPr>
          <w:rFonts w:cstheme="minorHAnsi"/>
          <w:color w:val="292929"/>
        </w:rPr>
        <w:t>podnikatelé a</w:t>
      </w:r>
      <w:r w:rsidR="00546698">
        <w:rPr>
          <w:rFonts w:cstheme="minorHAnsi"/>
          <w:color w:val="292929"/>
        </w:rPr>
        <w:t> </w:t>
      </w:r>
      <w:r w:rsidRPr="009B0055">
        <w:rPr>
          <w:rFonts w:cstheme="minorHAnsi"/>
          <w:color w:val="292929"/>
        </w:rPr>
        <w:t>samospráva.</w:t>
      </w:r>
    </w:p>
    <w:p w14:paraId="6BA29479" w14:textId="77777777" w:rsidR="001B4719" w:rsidRPr="009B0055" w:rsidRDefault="001B4719" w:rsidP="001B4719">
      <w:pPr>
        <w:jc w:val="both"/>
        <w:rPr>
          <w:rFonts w:cstheme="minorHAnsi"/>
        </w:rPr>
      </w:pPr>
      <w:r w:rsidRPr="009B0055">
        <w:rPr>
          <w:rFonts w:cstheme="minorHAnsi"/>
          <w:color w:val="292929"/>
        </w:rPr>
        <w:t>Podpora nákupu elektrických vozidel funguje též v</w:t>
      </w:r>
      <w:r w:rsidR="00546698">
        <w:rPr>
          <w:rFonts w:cstheme="minorHAnsi"/>
          <w:color w:val="292929"/>
        </w:rPr>
        <w:t> </w:t>
      </w:r>
      <w:r w:rsidRPr="009B0055">
        <w:rPr>
          <w:rFonts w:cstheme="minorHAnsi"/>
          <w:b/>
          <w:color w:val="292929"/>
        </w:rPr>
        <w:t>Maďarsku</w:t>
      </w:r>
      <w:r w:rsidRPr="009B0055">
        <w:rPr>
          <w:rFonts w:cstheme="minorHAnsi"/>
          <w:color w:val="292929"/>
        </w:rPr>
        <w:t xml:space="preserve"> a</w:t>
      </w:r>
      <w:r w:rsidR="00546698">
        <w:rPr>
          <w:rFonts w:cstheme="minorHAnsi"/>
          <w:color w:val="292929"/>
        </w:rPr>
        <w:t> </w:t>
      </w:r>
      <w:r w:rsidRPr="009B0055">
        <w:rPr>
          <w:rFonts w:cstheme="minorHAnsi"/>
          <w:color w:val="292929"/>
        </w:rPr>
        <w:t>to v</w:t>
      </w:r>
      <w:r w:rsidR="00546698">
        <w:rPr>
          <w:rFonts w:cstheme="minorHAnsi"/>
          <w:color w:val="292929"/>
        </w:rPr>
        <w:t> </w:t>
      </w:r>
      <w:r w:rsidRPr="009B0055">
        <w:rPr>
          <w:rFonts w:cstheme="minorHAnsi"/>
          <w:color w:val="292929"/>
        </w:rPr>
        <w:t>maximální</w:t>
      </w:r>
      <w:r>
        <w:rPr>
          <w:rFonts w:cstheme="minorHAnsi"/>
          <w:color w:val="292929"/>
        </w:rPr>
        <w:t xml:space="preserve"> </w:t>
      </w:r>
      <w:r w:rsidRPr="009B0055">
        <w:rPr>
          <w:rFonts w:cstheme="minorHAnsi"/>
          <w:color w:val="292929"/>
        </w:rPr>
        <w:t xml:space="preserve">výši </w:t>
      </w:r>
      <w:r w:rsidRPr="009B0055">
        <w:rPr>
          <w:rFonts w:cstheme="minorHAnsi"/>
        </w:rPr>
        <w:t xml:space="preserve">1,5 milionů forintů (cca 4 800 </w:t>
      </w:r>
      <w:r>
        <w:rPr>
          <w:rFonts w:cstheme="minorHAnsi"/>
        </w:rPr>
        <w:t>euro</w:t>
      </w:r>
      <w:r w:rsidRPr="009B0055">
        <w:rPr>
          <w:rFonts w:cstheme="minorHAnsi"/>
        </w:rPr>
        <w:t>) pro jedno vozidlo. Podpora by neměla být vyšší jak 21</w:t>
      </w:r>
      <w:r>
        <w:rPr>
          <w:rFonts w:cstheme="minorHAnsi"/>
        </w:rPr>
        <w:t> </w:t>
      </w:r>
      <w:r w:rsidRPr="009B0055">
        <w:rPr>
          <w:rFonts w:cstheme="minorHAnsi"/>
        </w:rPr>
        <w:t>% nákupní ceny vozidla. Maďarská vláda pro tento účel vyčlenila v</w:t>
      </w:r>
      <w:r w:rsidR="00546698">
        <w:rPr>
          <w:rFonts w:cstheme="minorHAnsi"/>
        </w:rPr>
        <w:t> </w:t>
      </w:r>
      <w:r w:rsidRPr="009B0055">
        <w:rPr>
          <w:rFonts w:cstheme="minorHAnsi"/>
        </w:rPr>
        <w:t xml:space="preserve">roce 2016 částku 5 miliard forintů (přibližně 1 600 000 </w:t>
      </w:r>
      <w:r>
        <w:rPr>
          <w:rFonts w:cstheme="minorHAnsi"/>
        </w:rPr>
        <w:t>euro</w:t>
      </w:r>
      <w:r w:rsidRPr="009B0055">
        <w:rPr>
          <w:rFonts w:cstheme="minorHAnsi"/>
        </w:rPr>
        <w:t xml:space="preserve">), což by mělo podpořit nákup cca 3 500 </w:t>
      </w:r>
      <w:r>
        <w:rPr>
          <w:rFonts w:cstheme="minorHAnsi"/>
        </w:rPr>
        <w:t>elektrických vozidel.</w:t>
      </w:r>
    </w:p>
    <w:p w14:paraId="5726E1AA" w14:textId="77777777" w:rsidR="001B4719" w:rsidRPr="009B0055" w:rsidRDefault="001B4719" w:rsidP="001B4719">
      <w:pPr>
        <w:jc w:val="both"/>
        <w:rPr>
          <w:rFonts w:cstheme="minorHAnsi"/>
        </w:rPr>
      </w:pPr>
      <w:r w:rsidRPr="009B0055">
        <w:rPr>
          <w:rFonts w:cstheme="minorHAnsi"/>
        </w:rPr>
        <w:t xml:space="preserve">Jednoznačně nejvyšší podporu nákupu elektrických vozidel nabízí od loňského roku </w:t>
      </w:r>
      <w:r w:rsidRPr="009B0055">
        <w:rPr>
          <w:rFonts w:cstheme="minorHAnsi"/>
          <w:b/>
        </w:rPr>
        <w:t>Rumunsku</w:t>
      </w:r>
      <w:r w:rsidRPr="009B0055">
        <w:rPr>
          <w:rFonts w:cstheme="minorHAnsi"/>
        </w:rPr>
        <w:t xml:space="preserve"> a</w:t>
      </w:r>
      <w:r w:rsidR="00546698">
        <w:rPr>
          <w:rFonts w:cstheme="minorHAnsi"/>
        </w:rPr>
        <w:t> </w:t>
      </w:r>
      <w:r w:rsidRPr="009B0055">
        <w:rPr>
          <w:rFonts w:cstheme="minorHAnsi"/>
        </w:rPr>
        <w:t xml:space="preserve">to ve výši 10 000 </w:t>
      </w:r>
      <w:r>
        <w:rPr>
          <w:rFonts w:cstheme="minorHAnsi"/>
        </w:rPr>
        <w:t>euro</w:t>
      </w:r>
      <w:r w:rsidRPr="009B0055">
        <w:rPr>
          <w:rFonts w:cstheme="minorHAnsi"/>
        </w:rPr>
        <w:t xml:space="preserve">. Tato suma podle výpočtu rumunského ministerstva životního prostředí </w:t>
      </w:r>
      <w:r w:rsidRPr="009B0055">
        <w:rPr>
          <w:rFonts w:cstheme="minorHAnsi"/>
        </w:rPr>
        <w:lastRenderedPageBreak/>
        <w:t>představuje 1/3 ceny elektrického vozidla, přičemž rozpočet tohoto ministerstva na toto opatření měl umožnit podporu nákupu až jednoh</w:t>
      </w:r>
      <w:r>
        <w:rPr>
          <w:rFonts w:cstheme="minorHAnsi"/>
        </w:rPr>
        <w:t>o tisíce elektrických vozidel.</w:t>
      </w:r>
    </w:p>
    <w:p w14:paraId="09AC0C68" w14:textId="77777777" w:rsidR="001B4719" w:rsidRPr="009B0055" w:rsidRDefault="001B4719" w:rsidP="001B4719">
      <w:pPr>
        <w:jc w:val="both"/>
        <w:rPr>
          <w:rFonts w:cstheme="minorHAnsi"/>
        </w:rPr>
      </w:pPr>
      <w:r w:rsidRPr="009B0055">
        <w:rPr>
          <w:rFonts w:cstheme="minorHAnsi"/>
        </w:rPr>
        <w:t xml:space="preserve">O něco méně štědrou (ale stále velmi vysokou) podporu nabízí </w:t>
      </w:r>
      <w:r w:rsidRPr="009B0055">
        <w:rPr>
          <w:rFonts w:cstheme="minorHAnsi"/>
          <w:b/>
        </w:rPr>
        <w:t>Slovinsko</w:t>
      </w:r>
      <w:r w:rsidRPr="009B0055">
        <w:rPr>
          <w:rFonts w:cstheme="minorHAnsi"/>
        </w:rPr>
        <w:t>, které z</w:t>
      </w:r>
      <w:r w:rsidR="00546698">
        <w:rPr>
          <w:rFonts w:cstheme="minorHAnsi"/>
        </w:rPr>
        <w:t> </w:t>
      </w:r>
      <w:r w:rsidRPr="009B0055">
        <w:rPr>
          <w:rFonts w:cstheme="minorHAnsi"/>
        </w:rPr>
        <w:t>tzv. ekologického fondu nabízí příspěvek 7 500 euro na pořízení bateriového elektrického vozidla ve výši 7 500 euro a</w:t>
      </w:r>
      <w:r w:rsidR="00546698">
        <w:rPr>
          <w:rFonts w:cstheme="minorHAnsi"/>
        </w:rPr>
        <w:t> </w:t>
      </w:r>
      <w:r w:rsidRPr="009B0055">
        <w:rPr>
          <w:rFonts w:cstheme="minorHAnsi"/>
        </w:rPr>
        <w:t>příspěvek 4</w:t>
      </w:r>
      <w:r>
        <w:rPr>
          <w:rFonts w:cstheme="minorHAnsi"/>
        </w:rPr>
        <w:t> </w:t>
      </w:r>
      <w:r w:rsidRPr="009B0055">
        <w:rPr>
          <w:rFonts w:cstheme="minorHAnsi"/>
        </w:rPr>
        <w:t>500</w:t>
      </w:r>
      <w:r>
        <w:rPr>
          <w:rFonts w:cstheme="minorHAnsi"/>
        </w:rPr>
        <w:t xml:space="preserve"> euro</w:t>
      </w:r>
      <w:r w:rsidRPr="009B0055">
        <w:rPr>
          <w:rFonts w:cstheme="minorHAnsi"/>
        </w:rPr>
        <w:t xml:space="preserve"> na pořízení plug-in hybridního vozidla. Stejný fond nabízí též bezúročné půjčky na 10 let, které umožňují nákup elektromobilu při splátkách 200</w:t>
      </w:r>
      <w:r>
        <w:rPr>
          <w:rFonts w:cstheme="minorHAnsi"/>
        </w:rPr>
        <w:t> </w:t>
      </w:r>
      <w:r w:rsidRPr="009B0055">
        <w:rPr>
          <w:rFonts w:cstheme="minorHAnsi"/>
        </w:rPr>
        <w:t>euro měsíčně. Veškeré uvedené formy podpory přit</w:t>
      </w:r>
      <w:r>
        <w:rPr>
          <w:rFonts w:cstheme="minorHAnsi"/>
        </w:rPr>
        <w:t>om vztahují i</w:t>
      </w:r>
      <w:r w:rsidR="00546698">
        <w:rPr>
          <w:rFonts w:cstheme="minorHAnsi"/>
        </w:rPr>
        <w:t> </w:t>
      </w:r>
      <w:r>
        <w:rPr>
          <w:rFonts w:cstheme="minorHAnsi"/>
        </w:rPr>
        <w:t>na fyzické osoby.</w:t>
      </w:r>
    </w:p>
    <w:p w14:paraId="2864967F" w14:textId="77777777" w:rsidR="001B4719" w:rsidRDefault="001B4719" w:rsidP="001B4719">
      <w:pPr>
        <w:jc w:val="both"/>
        <w:rPr>
          <w:rFonts w:cstheme="minorHAnsi"/>
        </w:rPr>
      </w:pPr>
      <w:r w:rsidRPr="009B0055">
        <w:rPr>
          <w:rFonts w:cstheme="minorHAnsi"/>
        </w:rPr>
        <w:t>Obdobný fond (Fond pro nízkoemisní dopravu) byl v</w:t>
      </w:r>
      <w:r w:rsidR="00546698">
        <w:rPr>
          <w:rFonts w:cstheme="minorHAnsi"/>
        </w:rPr>
        <w:t> </w:t>
      </w:r>
      <w:r w:rsidRPr="009B0055">
        <w:rPr>
          <w:rFonts w:cstheme="minorHAnsi"/>
        </w:rPr>
        <w:t>roce 2017 zřízen též v</w:t>
      </w:r>
      <w:r w:rsidR="00546698">
        <w:rPr>
          <w:rFonts w:cstheme="minorHAnsi"/>
        </w:rPr>
        <w:t> </w:t>
      </w:r>
      <w:r w:rsidRPr="009B0055">
        <w:rPr>
          <w:rFonts w:cstheme="minorHAnsi"/>
          <w:b/>
        </w:rPr>
        <w:t>Polsku</w:t>
      </w:r>
      <w:r w:rsidRPr="009B0055">
        <w:rPr>
          <w:rFonts w:cstheme="minorHAnsi"/>
        </w:rPr>
        <w:t>, přičemž jeho zdrojem je určitá část spotřební daně na konvenční paliva. Fond se zaměřuje na podporu celé škály aktivit na zavádění elektromobility (např. výzkum, rozvoj infrastruktury či propagační činnost).</w:t>
      </w:r>
    </w:p>
    <w:p w14:paraId="35EE6020" w14:textId="77777777" w:rsidR="001B4719" w:rsidRDefault="001B4719" w:rsidP="001B4719">
      <w:pPr>
        <w:jc w:val="both"/>
        <w:rPr>
          <w:rFonts w:cstheme="minorHAnsi"/>
        </w:rPr>
      </w:pPr>
      <w:r>
        <w:rPr>
          <w:rFonts w:cstheme="minorHAnsi"/>
        </w:rPr>
        <w:t>Podpora nákupu vozidel nebývá v</w:t>
      </w:r>
      <w:r w:rsidR="00546698">
        <w:rPr>
          <w:rFonts w:cstheme="minorHAnsi"/>
        </w:rPr>
        <w:t> </w:t>
      </w:r>
      <w:r>
        <w:rPr>
          <w:rFonts w:cstheme="minorHAnsi"/>
        </w:rPr>
        <w:t xml:space="preserve">některých zemích směřována jen do oblasti osobních vozidel, podporovány jsou též </w:t>
      </w:r>
      <w:r w:rsidRPr="00B21D9E">
        <w:rPr>
          <w:rFonts w:cstheme="minorHAnsi"/>
          <w:u w:val="single"/>
        </w:rPr>
        <w:t>projekty v</w:t>
      </w:r>
      <w:r w:rsidR="00546698">
        <w:rPr>
          <w:rFonts w:cstheme="minorHAnsi"/>
          <w:u w:val="single"/>
        </w:rPr>
        <w:t> </w:t>
      </w:r>
      <w:r w:rsidRPr="00B21D9E">
        <w:rPr>
          <w:rFonts w:cstheme="minorHAnsi"/>
          <w:u w:val="single"/>
        </w:rPr>
        <w:t>oblasti veřejné hromadné dopravy</w:t>
      </w:r>
      <w:r>
        <w:rPr>
          <w:rFonts w:cstheme="minorHAnsi"/>
        </w:rPr>
        <w:t xml:space="preserve"> či speciálních forem mobility (car </w:t>
      </w:r>
      <w:r w:rsidRPr="002725B2">
        <w:rPr>
          <w:rFonts w:cstheme="minorHAnsi"/>
        </w:rPr>
        <w:t>sharing</w:t>
      </w:r>
      <w:r>
        <w:rPr>
          <w:rStyle w:val="Znakapoznpodarou"/>
          <w:rFonts w:cstheme="minorHAnsi"/>
        </w:rPr>
        <w:footnoteReference w:id="7"/>
      </w:r>
      <w:r>
        <w:rPr>
          <w:rFonts w:cstheme="minorHAnsi"/>
        </w:rPr>
        <w:t xml:space="preserve"> nebo zavádění e-taxi). Ve veřejné dopravě přichází impulz často v</w:t>
      </w:r>
      <w:r w:rsidR="00546698">
        <w:rPr>
          <w:rFonts w:cstheme="minorHAnsi"/>
        </w:rPr>
        <w:t> </w:t>
      </w:r>
      <w:r>
        <w:rPr>
          <w:rFonts w:cstheme="minorHAnsi"/>
        </w:rPr>
        <w:t xml:space="preserve">podobě stanovení určité dlouhodobé strategie. Např. </w:t>
      </w:r>
      <w:r w:rsidRPr="00F65A29">
        <w:rPr>
          <w:rFonts w:cstheme="minorHAnsi"/>
          <w:b/>
        </w:rPr>
        <w:t>Irsko</w:t>
      </w:r>
      <w:r>
        <w:rPr>
          <w:rFonts w:cstheme="minorHAnsi"/>
        </w:rPr>
        <w:t xml:space="preserve"> si stanovilo cíl dosáhnout do roku 2023 50% výměny dieselových autobusů za elektrické s</w:t>
      </w:r>
      <w:r w:rsidR="00546698">
        <w:rPr>
          <w:rFonts w:cstheme="minorHAnsi"/>
        </w:rPr>
        <w:t> </w:t>
      </w:r>
      <w:r>
        <w:rPr>
          <w:rFonts w:cstheme="minorHAnsi"/>
        </w:rPr>
        <w:t xml:space="preserve">tím, že do roku 2030 by 100% elektrických vozidel mělo být bezemisních. Za tímto účelem byl vytvořen Zelený autobusový fond na podporu nákupu bezemisních autobusů. Fond na podporu nákupu nízkoemisních autobusů existuje dlouhodobě též ve </w:t>
      </w:r>
      <w:r w:rsidRPr="00CB27EF">
        <w:rPr>
          <w:rFonts w:cstheme="minorHAnsi"/>
          <w:b/>
        </w:rPr>
        <w:t>Velké Británie (UK)</w:t>
      </w:r>
      <w:r>
        <w:rPr>
          <w:rFonts w:cstheme="minorHAnsi"/>
          <w:b/>
        </w:rPr>
        <w:t xml:space="preserve">. </w:t>
      </w:r>
      <w:r w:rsidRPr="00CB27EF">
        <w:rPr>
          <w:rFonts w:cstheme="minorHAnsi"/>
        </w:rPr>
        <w:t>Za období 2009-2016 bylo takto podpořeno 1</w:t>
      </w:r>
      <w:r>
        <w:rPr>
          <w:rFonts w:cstheme="minorHAnsi"/>
        </w:rPr>
        <w:t xml:space="preserve"> </w:t>
      </w:r>
      <w:r w:rsidRPr="00CB27EF">
        <w:rPr>
          <w:rFonts w:cstheme="minorHAnsi"/>
        </w:rPr>
        <w:t>250 elektrických a</w:t>
      </w:r>
      <w:r w:rsidR="00546698">
        <w:rPr>
          <w:rFonts w:cstheme="minorHAnsi"/>
        </w:rPr>
        <w:t> </w:t>
      </w:r>
      <w:r w:rsidRPr="00CB27EF">
        <w:rPr>
          <w:rFonts w:cstheme="minorHAnsi"/>
        </w:rPr>
        <w:t>vodíkových autobusů</w:t>
      </w:r>
      <w:r>
        <w:rPr>
          <w:rFonts w:cstheme="minorHAnsi"/>
        </w:rPr>
        <w:t>. Podpora v</w:t>
      </w:r>
      <w:r w:rsidR="00546698">
        <w:rPr>
          <w:rFonts w:cstheme="minorHAnsi"/>
        </w:rPr>
        <w:t> </w:t>
      </w:r>
      <w:r>
        <w:rPr>
          <w:rFonts w:cstheme="minorHAnsi"/>
        </w:rPr>
        <w:t>současnosti (pro období 2017-2019) počítá s</w:t>
      </w:r>
      <w:r w:rsidR="00546698">
        <w:rPr>
          <w:rFonts w:cstheme="minorHAnsi"/>
        </w:rPr>
        <w:t> </w:t>
      </w:r>
      <w:r>
        <w:rPr>
          <w:rFonts w:cstheme="minorHAnsi"/>
        </w:rPr>
        <w:t>tím, že by měla pokrýt 75 % dodatečných nákladů (u</w:t>
      </w:r>
      <w:r w:rsidR="00C161E8">
        <w:rPr>
          <w:rFonts w:cstheme="minorHAnsi"/>
        </w:rPr>
        <w:t> </w:t>
      </w:r>
      <w:r>
        <w:rPr>
          <w:rFonts w:cstheme="minorHAnsi"/>
        </w:rPr>
        <w:t>čistě elektrických autobusů pak 90 % těchto nákladů).</w:t>
      </w:r>
    </w:p>
    <w:p w14:paraId="14EA8B3D" w14:textId="77777777" w:rsidR="001B4719" w:rsidRDefault="001B4719" w:rsidP="001B4719">
      <w:pPr>
        <w:jc w:val="both"/>
        <w:rPr>
          <w:rFonts w:cstheme="minorHAnsi"/>
        </w:rPr>
      </w:pPr>
      <w:r>
        <w:rPr>
          <w:rFonts w:cstheme="minorHAnsi"/>
        </w:rPr>
        <w:t xml:space="preserve">Řada členských států EU uplatňuje určitý systém </w:t>
      </w:r>
      <w:r w:rsidRPr="006544FF">
        <w:rPr>
          <w:rFonts w:cstheme="minorHAnsi"/>
          <w:u w:val="single"/>
        </w:rPr>
        <w:t>přímé a</w:t>
      </w:r>
      <w:r w:rsidR="00546698">
        <w:rPr>
          <w:rFonts w:cstheme="minorHAnsi"/>
          <w:u w:val="single"/>
        </w:rPr>
        <w:t> </w:t>
      </w:r>
      <w:r w:rsidRPr="006544FF">
        <w:rPr>
          <w:rFonts w:cstheme="minorHAnsi"/>
          <w:u w:val="single"/>
        </w:rPr>
        <w:t>spíše výjimečně i</w:t>
      </w:r>
      <w:r w:rsidR="00546698">
        <w:rPr>
          <w:rFonts w:cstheme="minorHAnsi"/>
          <w:u w:val="single"/>
        </w:rPr>
        <w:t> </w:t>
      </w:r>
      <w:r w:rsidRPr="006544FF">
        <w:rPr>
          <w:rFonts w:cstheme="minorHAnsi"/>
          <w:u w:val="single"/>
        </w:rPr>
        <w:t xml:space="preserve">nepřímé (daňové) podpory rozvoje dobíjecích stanic. </w:t>
      </w:r>
      <w:r>
        <w:rPr>
          <w:rFonts w:cstheme="minorHAnsi"/>
        </w:rPr>
        <w:t>Daňová podpora (ve formě odpočtu daně z</w:t>
      </w:r>
      <w:r w:rsidR="00546698">
        <w:rPr>
          <w:rFonts w:cstheme="minorHAnsi"/>
        </w:rPr>
        <w:t> </w:t>
      </w:r>
      <w:r>
        <w:rPr>
          <w:rFonts w:cstheme="minorHAnsi"/>
        </w:rPr>
        <w:t>příjmu) se uplatňuje například v</w:t>
      </w:r>
      <w:r w:rsidR="00546698">
        <w:rPr>
          <w:rFonts w:cstheme="minorHAnsi"/>
        </w:rPr>
        <w:t> </w:t>
      </w:r>
      <w:r w:rsidRPr="006544FF">
        <w:rPr>
          <w:rFonts w:cstheme="minorHAnsi"/>
          <w:b/>
        </w:rPr>
        <w:t>Nizozemsku</w:t>
      </w:r>
      <w:r>
        <w:rPr>
          <w:rFonts w:cstheme="minorHAnsi"/>
          <w:b/>
        </w:rPr>
        <w:t xml:space="preserve"> či ve Francii </w:t>
      </w:r>
      <w:r w:rsidRPr="00B21D9E">
        <w:rPr>
          <w:rFonts w:cstheme="minorHAnsi"/>
        </w:rPr>
        <w:t>(zde 30% úleva na dani v</w:t>
      </w:r>
      <w:r w:rsidR="00546698">
        <w:rPr>
          <w:rFonts w:cstheme="minorHAnsi"/>
        </w:rPr>
        <w:t> </w:t>
      </w:r>
      <w:r w:rsidRPr="00B21D9E">
        <w:rPr>
          <w:rFonts w:cstheme="minorHAnsi"/>
        </w:rPr>
        <w:t>případě instalace dobíjecí stanice v</w:t>
      </w:r>
      <w:r w:rsidR="00546698">
        <w:rPr>
          <w:rFonts w:cstheme="minorHAnsi"/>
        </w:rPr>
        <w:t> </w:t>
      </w:r>
      <w:r w:rsidRPr="00B21D9E">
        <w:rPr>
          <w:rFonts w:cstheme="minorHAnsi"/>
        </w:rPr>
        <w:t>obytné budově).</w:t>
      </w:r>
      <w:r>
        <w:rPr>
          <w:rFonts w:cstheme="minorHAnsi"/>
        </w:rPr>
        <w:t xml:space="preserve"> Přímá (investiční) podpora je realizována například v</w:t>
      </w:r>
      <w:r w:rsidR="00546698">
        <w:rPr>
          <w:rFonts w:cstheme="minorHAnsi"/>
        </w:rPr>
        <w:t> </w:t>
      </w:r>
      <w:r w:rsidRPr="006544FF">
        <w:rPr>
          <w:rFonts w:cstheme="minorHAnsi"/>
          <w:b/>
        </w:rPr>
        <w:t>Německu</w:t>
      </w:r>
      <w:r>
        <w:rPr>
          <w:rFonts w:cstheme="minorHAnsi"/>
        </w:rPr>
        <w:t xml:space="preserve">, které stejně jako ČR muselo podstoupit proces notifikace veřejné podpory ze strany Evropské komise. Některé státy realizují tuto podporu na regionální či místní úrovni (např. </w:t>
      </w:r>
      <w:r w:rsidRPr="00F65A29">
        <w:rPr>
          <w:rFonts w:cstheme="minorHAnsi"/>
          <w:b/>
        </w:rPr>
        <w:t>Belgie</w:t>
      </w:r>
      <w:r>
        <w:rPr>
          <w:rFonts w:cstheme="minorHAnsi"/>
        </w:rPr>
        <w:t>), což patrně umožňuje uplatnit příslušnou výjimku z</w:t>
      </w:r>
      <w:r w:rsidR="00546698">
        <w:rPr>
          <w:rFonts w:cstheme="minorHAnsi"/>
        </w:rPr>
        <w:t> </w:t>
      </w:r>
      <w:r>
        <w:rPr>
          <w:rFonts w:cstheme="minorHAnsi"/>
        </w:rPr>
        <w:t>jinak povinné notifikace veřejné podpory. Existují však i</w:t>
      </w:r>
      <w:r w:rsidR="00546698">
        <w:rPr>
          <w:rFonts w:cstheme="minorHAnsi"/>
        </w:rPr>
        <w:t> </w:t>
      </w:r>
      <w:r>
        <w:rPr>
          <w:rFonts w:cstheme="minorHAnsi"/>
        </w:rPr>
        <w:t xml:space="preserve">státy, které stanoví povinnost provozovatelům distribuční soustavy dobíjecí stanice na vybraných lokalitách vybudovat. Příkladem může být </w:t>
      </w:r>
      <w:r w:rsidRPr="00F65A29">
        <w:rPr>
          <w:rFonts w:cstheme="minorHAnsi"/>
          <w:b/>
        </w:rPr>
        <w:t>Lucembursko</w:t>
      </w:r>
      <w:r>
        <w:rPr>
          <w:rFonts w:cstheme="minorHAnsi"/>
        </w:rPr>
        <w:t>. Podobně třeba v</w:t>
      </w:r>
      <w:r w:rsidR="00546698">
        <w:rPr>
          <w:rFonts w:cstheme="minorHAnsi"/>
        </w:rPr>
        <w:t> </w:t>
      </w:r>
      <w:r w:rsidRPr="00001CA4">
        <w:rPr>
          <w:rFonts w:cstheme="minorHAnsi"/>
          <w:b/>
        </w:rPr>
        <w:t>Belgii</w:t>
      </w:r>
      <w:r>
        <w:rPr>
          <w:rFonts w:cstheme="minorHAnsi"/>
        </w:rPr>
        <w:t xml:space="preserve"> či v</w:t>
      </w:r>
      <w:r w:rsidR="00546698">
        <w:rPr>
          <w:rFonts w:cstheme="minorHAnsi"/>
        </w:rPr>
        <w:t> </w:t>
      </w:r>
      <w:r w:rsidRPr="00F65A29">
        <w:rPr>
          <w:rFonts w:cstheme="minorHAnsi"/>
          <w:b/>
        </w:rPr>
        <w:t>UK</w:t>
      </w:r>
      <w:r>
        <w:rPr>
          <w:rFonts w:cstheme="minorHAnsi"/>
        </w:rPr>
        <w:t xml:space="preserve"> je zákonem stanoveno, že na dálničních odpočívkách musí být k</w:t>
      </w:r>
      <w:r w:rsidR="00546698">
        <w:rPr>
          <w:rFonts w:cstheme="minorHAnsi"/>
        </w:rPr>
        <w:t> </w:t>
      </w:r>
      <w:r>
        <w:rPr>
          <w:rFonts w:cstheme="minorHAnsi"/>
        </w:rPr>
        <w:t>dispozici infrastruktura pro alternativní paliva. Řada států v</w:t>
      </w:r>
      <w:r w:rsidR="00546698">
        <w:rPr>
          <w:rFonts w:cstheme="minorHAnsi"/>
        </w:rPr>
        <w:t> </w:t>
      </w:r>
      <w:r>
        <w:rPr>
          <w:rFonts w:cstheme="minorHAnsi"/>
        </w:rPr>
        <w:t>současnosti v</w:t>
      </w:r>
      <w:r w:rsidR="00546698">
        <w:rPr>
          <w:rFonts w:cstheme="minorHAnsi"/>
        </w:rPr>
        <w:t> </w:t>
      </w:r>
      <w:r>
        <w:rPr>
          <w:rFonts w:cstheme="minorHAnsi"/>
        </w:rPr>
        <w:t>této oblasti též hodně spoléhá na podporu z</w:t>
      </w:r>
      <w:r w:rsidR="00546698">
        <w:rPr>
          <w:rFonts w:cstheme="minorHAnsi"/>
        </w:rPr>
        <w:t> </w:t>
      </w:r>
      <w:r>
        <w:rPr>
          <w:rFonts w:cstheme="minorHAnsi"/>
        </w:rPr>
        <w:t>fondu CEF, který již podpořil celou řadu projektů např. na Slovensku, Polsku či v</w:t>
      </w:r>
      <w:r w:rsidR="00546698">
        <w:rPr>
          <w:rFonts w:cstheme="minorHAnsi"/>
        </w:rPr>
        <w:t> </w:t>
      </w:r>
      <w:r>
        <w:rPr>
          <w:rFonts w:cstheme="minorHAnsi"/>
        </w:rPr>
        <w:t>balkánských státech.</w:t>
      </w:r>
    </w:p>
    <w:p w14:paraId="04EC4DF3" w14:textId="77777777" w:rsidR="001B4719" w:rsidRPr="009B0055" w:rsidRDefault="001B4719" w:rsidP="001B4719">
      <w:pPr>
        <w:jc w:val="both"/>
        <w:rPr>
          <w:rFonts w:cstheme="minorHAnsi"/>
        </w:rPr>
      </w:pPr>
      <w:r w:rsidRPr="00676BF7">
        <w:rPr>
          <w:rFonts w:cstheme="minorHAnsi"/>
        </w:rPr>
        <w:t>V posledních letech byl zaznamená</w:t>
      </w:r>
      <w:r>
        <w:rPr>
          <w:rFonts w:cstheme="minorHAnsi"/>
        </w:rPr>
        <w:t>n</w:t>
      </w:r>
      <w:r w:rsidRPr="00676BF7">
        <w:rPr>
          <w:rFonts w:cstheme="minorHAnsi"/>
        </w:rPr>
        <w:t xml:space="preserve"> též určitý trend, pokud jde o</w:t>
      </w:r>
      <w:r w:rsidR="00546698">
        <w:rPr>
          <w:rFonts w:cstheme="minorHAnsi"/>
          <w:b/>
        </w:rPr>
        <w:t> </w:t>
      </w:r>
      <w:r w:rsidRPr="00676BF7">
        <w:rPr>
          <w:rFonts w:cstheme="minorHAnsi"/>
          <w:u w:val="single"/>
        </w:rPr>
        <w:t>regulaci elektromobility</w:t>
      </w:r>
      <w:r>
        <w:rPr>
          <w:rFonts w:cstheme="minorHAnsi"/>
        </w:rPr>
        <w:t xml:space="preserve"> v</w:t>
      </w:r>
      <w:r w:rsidR="00546698">
        <w:rPr>
          <w:rFonts w:cstheme="minorHAnsi"/>
        </w:rPr>
        <w:t> </w:t>
      </w:r>
      <w:r>
        <w:rPr>
          <w:rFonts w:cstheme="minorHAnsi"/>
        </w:rPr>
        <w:t xml:space="preserve">podobě samostatného zákona. </w:t>
      </w:r>
      <w:r w:rsidRPr="009B0055">
        <w:rPr>
          <w:rFonts w:cstheme="minorHAnsi"/>
        </w:rPr>
        <w:t>V</w:t>
      </w:r>
      <w:r w:rsidR="00546698">
        <w:rPr>
          <w:rFonts w:cstheme="minorHAnsi"/>
        </w:rPr>
        <w:t> </w:t>
      </w:r>
      <w:r w:rsidRPr="009B0055">
        <w:rPr>
          <w:rFonts w:cstheme="minorHAnsi"/>
        </w:rPr>
        <w:t xml:space="preserve">únoru 2018 </w:t>
      </w:r>
      <w:r>
        <w:rPr>
          <w:rFonts w:cstheme="minorHAnsi"/>
        </w:rPr>
        <w:t>byl z</w:t>
      </w:r>
      <w:r w:rsidRPr="009B0055">
        <w:rPr>
          <w:rFonts w:cstheme="minorHAnsi"/>
        </w:rPr>
        <w:t>ákon o</w:t>
      </w:r>
      <w:r w:rsidR="00546698">
        <w:rPr>
          <w:rFonts w:cstheme="minorHAnsi"/>
        </w:rPr>
        <w:t> </w:t>
      </w:r>
      <w:r w:rsidRPr="009B0055">
        <w:rPr>
          <w:rFonts w:cstheme="minorHAnsi"/>
        </w:rPr>
        <w:t>elektromobilitě</w:t>
      </w:r>
      <w:r>
        <w:rPr>
          <w:rFonts w:cstheme="minorHAnsi"/>
        </w:rPr>
        <w:t xml:space="preserve"> přijat např. v</w:t>
      </w:r>
      <w:r w:rsidR="00546698">
        <w:rPr>
          <w:rFonts w:cstheme="minorHAnsi"/>
        </w:rPr>
        <w:t> </w:t>
      </w:r>
      <w:r>
        <w:rPr>
          <w:rFonts w:cstheme="minorHAnsi"/>
        </w:rPr>
        <w:t>Polsku. Z</w:t>
      </w:r>
      <w:r w:rsidRPr="009B0055">
        <w:rPr>
          <w:rFonts w:cstheme="minorHAnsi"/>
        </w:rPr>
        <w:t xml:space="preserve">ahrnuje </w:t>
      </w:r>
      <w:r>
        <w:rPr>
          <w:rFonts w:cstheme="minorHAnsi"/>
        </w:rPr>
        <w:t>přitom v</w:t>
      </w:r>
      <w:r w:rsidR="00546698">
        <w:rPr>
          <w:rFonts w:cstheme="minorHAnsi"/>
        </w:rPr>
        <w:t> </w:t>
      </w:r>
      <w:r>
        <w:rPr>
          <w:rFonts w:cstheme="minorHAnsi"/>
        </w:rPr>
        <w:t xml:space="preserve">sobě </w:t>
      </w:r>
      <w:r w:rsidRPr="009B0055">
        <w:rPr>
          <w:rFonts w:cstheme="minorHAnsi"/>
        </w:rPr>
        <w:t>všechny aspekty týkající se elektromobility. V</w:t>
      </w:r>
      <w:r w:rsidR="00546698">
        <w:rPr>
          <w:rFonts w:cstheme="minorHAnsi"/>
        </w:rPr>
        <w:t> </w:t>
      </w:r>
      <w:r w:rsidRPr="009B0055">
        <w:rPr>
          <w:rFonts w:cstheme="minorHAnsi"/>
        </w:rPr>
        <w:t>první řadě jsou tímto zákonem stanoveny některé výhody pro řidiče elektrických vozidel (vyjmutí EV ze spotřební daně, možnost zrychlen</w:t>
      </w:r>
      <w:r>
        <w:rPr>
          <w:rFonts w:cstheme="minorHAnsi"/>
        </w:rPr>
        <w:t>ých</w:t>
      </w:r>
      <w:r w:rsidRPr="009B0055">
        <w:rPr>
          <w:rFonts w:cstheme="minorHAnsi"/>
        </w:rPr>
        <w:t xml:space="preserve"> odpisů pro podnikatele, jízda v</w:t>
      </w:r>
      <w:r w:rsidR="00546698">
        <w:rPr>
          <w:rFonts w:cstheme="minorHAnsi"/>
        </w:rPr>
        <w:t> </w:t>
      </w:r>
      <w:r w:rsidRPr="009B0055">
        <w:rPr>
          <w:rFonts w:cstheme="minorHAnsi"/>
        </w:rPr>
        <w:t>preferenčních jízdních pruzích, volný vjezd EV do nízkoemisních zón v</w:t>
      </w:r>
      <w:r w:rsidR="00546698">
        <w:rPr>
          <w:rFonts w:cstheme="minorHAnsi"/>
        </w:rPr>
        <w:t> </w:t>
      </w:r>
      <w:r w:rsidRPr="009B0055">
        <w:rPr>
          <w:rFonts w:cstheme="minorHAnsi"/>
        </w:rPr>
        <w:t>centrech měst, přístup k</w:t>
      </w:r>
      <w:r w:rsidR="00546698">
        <w:rPr>
          <w:rFonts w:cstheme="minorHAnsi"/>
        </w:rPr>
        <w:t> </w:t>
      </w:r>
      <w:r w:rsidRPr="009B0055">
        <w:rPr>
          <w:rFonts w:cstheme="minorHAnsi"/>
        </w:rPr>
        <w:t>informacím o</w:t>
      </w:r>
      <w:r w:rsidR="00546698">
        <w:rPr>
          <w:rFonts w:cstheme="minorHAnsi"/>
        </w:rPr>
        <w:t> </w:t>
      </w:r>
      <w:r w:rsidRPr="009B0055">
        <w:rPr>
          <w:rFonts w:cstheme="minorHAnsi"/>
        </w:rPr>
        <w:t>dobíjecích stanicích v</w:t>
      </w:r>
      <w:r w:rsidR="00546698">
        <w:rPr>
          <w:rFonts w:cstheme="minorHAnsi"/>
        </w:rPr>
        <w:t> </w:t>
      </w:r>
      <w:r w:rsidRPr="009B0055">
        <w:rPr>
          <w:rFonts w:cstheme="minorHAnsi"/>
        </w:rPr>
        <w:t>navigacích), ale i</w:t>
      </w:r>
      <w:r w:rsidR="00546698">
        <w:rPr>
          <w:rFonts w:cstheme="minorHAnsi"/>
        </w:rPr>
        <w:t> </w:t>
      </w:r>
      <w:r w:rsidRPr="009B0055">
        <w:rPr>
          <w:rFonts w:cstheme="minorHAnsi"/>
        </w:rPr>
        <w:t>další podpůrná opatření (povinnost pro distributora zajistit připojení dobíjecí stanice k</w:t>
      </w:r>
      <w:r w:rsidR="00546698">
        <w:rPr>
          <w:rFonts w:cstheme="minorHAnsi"/>
        </w:rPr>
        <w:t> </w:t>
      </w:r>
      <w:r w:rsidRPr="009B0055">
        <w:rPr>
          <w:rFonts w:cstheme="minorHAnsi"/>
        </w:rPr>
        <w:t>síti, výrazně nižší poplatky pro provozovatele dobíjecích stanic za připojení k</w:t>
      </w:r>
      <w:r w:rsidR="00546698">
        <w:rPr>
          <w:rFonts w:cstheme="minorHAnsi"/>
        </w:rPr>
        <w:t> </w:t>
      </w:r>
      <w:r w:rsidRPr="009B0055">
        <w:rPr>
          <w:rFonts w:cstheme="minorHAnsi"/>
        </w:rPr>
        <w:t>síti, zvláštní tarif pro dobíjení vozidla určeného pro veřejnou autobusovou dopravu). Do budoucna tento zákon stanoví též určité povinnosti pro provozovatele dobíjecích stanic (garance roamingu od 2023).</w:t>
      </w:r>
    </w:p>
    <w:p w14:paraId="78770BE3" w14:textId="77777777" w:rsidR="001B4719" w:rsidRDefault="001B4719" w:rsidP="001B4719">
      <w:pPr>
        <w:jc w:val="both"/>
        <w:rPr>
          <w:rFonts w:cstheme="minorHAnsi"/>
        </w:rPr>
      </w:pPr>
      <w:r w:rsidRPr="009B0055">
        <w:rPr>
          <w:rFonts w:cstheme="minorHAnsi"/>
        </w:rPr>
        <w:t>Samostatný zákon týkající se elektromobility mají i</w:t>
      </w:r>
      <w:r w:rsidR="00546698">
        <w:rPr>
          <w:rFonts w:cstheme="minorHAnsi"/>
        </w:rPr>
        <w:t> </w:t>
      </w:r>
      <w:r w:rsidRPr="009B0055">
        <w:rPr>
          <w:rFonts w:cstheme="minorHAnsi"/>
        </w:rPr>
        <w:t>v</w:t>
      </w:r>
      <w:r>
        <w:rPr>
          <w:rFonts w:cstheme="minorHAnsi"/>
        </w:rPr>
        <w:t> </w:t>
      </w:r>
      <w:r w:rsidRPr="009B0055">
        <w:rPr>
          <w:rFonts w:cstheme="minorHAnsi"/>
        </w:rPr>
        <w:t xml:space="preserve">některých jiných státech EU jako </w:t>
      </w:r>
      <w:r w:rsidRPr="009B0055">
        <w:rPr>
          <w:rFonts w:cstheme="minorHAnsi"/>
          <w:b/>
        </w:rPr>
        <w:t>Německo či Velk</w:t>
      </w:r>
      <w:r>
        <w:rPr>
          <w:rFonts w:cstheme="minorHAnsi"/>
          <w:b/>
        </w:rPr>
        <w:t>á</w:t>
      </w:r>
      <w:r w:rsidRPr="009B0055">
        <w:rPr>
          <w:rFonts w:cstheme="minorHAnsi"/>
          <w:b/>
        </w:rPr>
        <w:t xml:space="preserve"> Británi</w:t>
      </w:r>
      <w:r>
        <w:rPr>
          <w:rFonts w:cstheme="minorHAnsi"/>
          <w:b/>
        </w:rPr>
        <w:t>e</w:t>
      </w:r>
      <w:r w:rsidRPr="009B0055">
        <w:rPr>
          <w:rFonts w:cstheme="minorHAnsi"/>
        </w:rPr>
        <w:t>. Zatímco v</w:t>
      </w:r>
      <w:r w:rsidR="00546698">
        <w:rPr>
          <w:rFonts w:cstheme="minorHAnsi"/>
        </w:rPr>
        <w:t> </w:t>
      </w:r>
      <w:r w:rsidRPr="009B0055">
        <w:rPr>
          <w:rFonts w:cstheme="minorHAnsi"/>
        </w:rPr>
        <w:t>Německu tento zákon stanoví rozsah různých výhod pro uživatele elektrických vozidel (např. jízda v</w:t>
      </w:r>
      <w:r w:rsidR="00546698">
        <w:rPr>
          <w:rFonts w:cstheme="minorHAnsi"/>
        </w:rPr>
        <w:t> </w:t>
      </w:r>
      <w:r w:rsidRPr="009B0055">
        <w:rPr>
          <w:rFonts w:cstheme="minorHAnsi"/>
        </w:rPr>
        <w:t>preferenčním jízdním pruhu, volné parkování), ve Velké Británii tento zákon stanoví zejména požadavky na provozovatele dobíjecích a</w:t>
      </w:r>
      <w:r w:rsidR="00546698">
        <w:rPr>
          <w:rFonts w:cstheme="minorHAnsi"/>
        </w:rPr>
        <w:t> </w:t>
      </w:r>
      <w:r w:rsidRPr="009B0055">
        <w:rPr>
          <w:rFonts w:cstheme="minorHAnsi"/>
        </w:rPr>
        <w:t>stanic (dostupnost dat o</w:t>
      </w:r>
      <w:r w:rsidR="00546698">
        <w:rPr>
          <w:rFonts w:cstheme="minorHAnsi"/>
        </w:rPr>
        <w:t> </w:t>
      </w:r>
      <w:r w:rsidRPr="009B0055">
        <w:rPr>
          <w:rFonts w:cstheme="minorHAnsi"/>
        </w:rPr>
        <w:t>umístění stanic, transparentnost cen, interoperabilita). Obdobný zákon mají v</w:t>
      </w:r>
      <w:r w:rsidR="00546698">
        <w:rPr>
          <w:rFonts w:cstheme="minorHAnsi"/>
        </w:rPr>
        <w:t> </w:t>
      </w:r>
      <w:r w:rsidRPr="009B0055">
        <w:rPr>
          <w:rFonts w:cstheme="minorHAnsi"/>
        </w:rPr>
        <w:t>příštím roce schvalovat též v</w:t>
      </w:r>
      <w:r w:rsidR="00546698">
        <w:rPr>
          <w:rFonts w:cstheme="minorHAnsi"/>
        </w:rPr>
        <w:t> </w:t>
      </w:r>
      <w:r w:rsidRPr="009B0055">
        <w:rPr>
          <w:rFonts w:cstheme="minorHAnsi"/>
          <w:b/>
        </w:rPr>
        <w:t>Maďarsku</w:t>
      </w:r>
      <w:r>
        <w:rPr>
          <w:rFonts w:cstheme="minorHAnsi"/>
        </w:rPr>
        <w:t>.</w:t>
      </w:r>
    </w:p>
    <w:p w14:paraId="0A0FEE8A" w14:textId="77777777" w:rsidR="001B4719" w:rsidRDefault="001B4719" w:rsidP="001B4719">
      <w:pPr>
        <w:pStyle w:val="Nadpis4"/>
        <w:numPr>
          <w:ilvl w:val="3"/>
          <w:numId w:val="9"/>
        </w:numPr>
        <w:jc w:val="both"/>
      </w:pPr>
      <w:bookmarkStart w:id="188" w:name="_Toc25136790"/>
      <w:bookmarkStart w:id="189" w:name="_Toc34295916"/>
      <w:r w:rsidRPr="003D6C0F">
        <w:lastRenderedPageBreak/>
        <w:t>Dobíjení elektromobilů z</w:t>
      </w:r>
      <w:r w:rsidR="00546698">
        <w:t> </w:t>
      </w:r>
      <w:r w:rsidRPr="003D6C0F">
        <w:t>pohledu tarifní struktury a</w:t>
      </w:r>
      <w:r w:rsidR="00546698">
        <w:t> </w:t>
      </w:r>
      <w:r w:rsidRPr="003D6C0F">
        <w:t>nákladů na odběr elektřiny</w:t>
      </w:r>
      <w:bookmarkEnd w:id="188"/>
      <w:bookmarkEnd w:id="189"/>
    </w:p>
    <w:p w14:paraId="203EED57" w14:textId="77777777" w:rsidR="001B4719" w:rsidDel="00533195" w:rsidRDefault="001B4719" w:rsidP="001B4719">
      <w:pPr>
        <w:jc w:val="both"/>
      </w:pPr>
      <w:r w:rsidDel="00533195">
        <w:t>Jako částečně samostatné téma lze vnímat problematiku odběrů elektřiny pro potřeby dobíjení elektromobilů z</w:t>
      </w:r>
      <w:r w:rsidR="00546698">
        <w:t> </w:t>
      </w:r>
      <w:r w:rsidDel="00533195">
        <w:t>distribuční sítě. Z</w:t>
      </w:r>
      <w:r w:rsidR="00546698">
        <w:t> </w:t>
      </w:r>
      <w:r w:rsidDel="00533195">
        <w:t>pohledu připojení do distribuční sítě, potažmo nákladů spojených s</w:t>
      </w:r>
      <w:r w:rsidR="00546698">
        <w:t> </w:t>
      </w:r>
      <w:r w:rsidDel="00533195">
        <w:t>odběrem z</w:t>
      </w:r>
      <w:r w:rsidR="00546698">
        <w:t> </w:t>
      </w:r>
      <w:r w:rsidDel="00533195">
        <w:t>dané napěťové úrovně, lze definovat dvě hlavní kategorie:</w:t>
      </w:r>
    </w:p>
    <w:p w14:paraId="2923E7D7" w14:textId="77777777" w:rsidR="001B4719" w:rsidRPr="00D52D5C" w:rsidDel="00533195" w:rsidRDefault="001B4719" w:rsidP="001B4719">
      <w:pPr>
        <w:pStyle w:val="Odrka1"/>
        <w:jc w:val="both"/>
      </w:pPr>
      <w:r w:rsidDel="00533195">
        <w:rPr>
          <w:b/>
        </w:rPr>
        <w:t>Pomalé do</w:t>
      </w:r>
      <w:r w:rsidRPr="00403268" w:rsidDel="00533195">
        <w:rPr>
          <w:b/>
        </w:rPr>
        <w:t>bíjení v</w:t>
      </w:r>
      <w:r w:rsidR="00546698">
        <w:rPr>
          <w:b/>
        </w:rPr>
        <w:t> </w:t>
      </w:r>
      <w:r w:rsidRPr="00403268" w:rsidDel="00533195">
        <w:rPr>
          <w:b/>
        </w:rPr>
        <w:t>řádu hodin</w:t>
      </w:r>
      <w:r w:rsidDel="00533195">
        <w:t>, z</w:t>
      </w:r>
      <w:r w:rsidR="00546698">
        <w:t> </w:t>
      </w:r>
      <w:r w:rsidDel="00533195">
        <w:t>principu se jedná o</w:t>
      </w:r>
      <w:r w:rsidR="00546698">
        <w:t> </w:t>
      </w:r>
      <w:r w:rsidDel="00533195">
        <w:t>připojení do sítí nízkého napětí</w:t>
      </w:r>
      <w:r>
        <w:t xml:space="preserve"> (NN)</w:t>
      </w:r>
      <w:r w:rsidDel="00533195">
        <w:t>.</w:t>
      </w:r>
    </w:p>
    <w:p w14:paraId="6181F6A6" w14:textId="77777777" w:rsidR="001B4719" w:rsidDel="00533195" w:rsidRDefault="001B4719" w:rsidP="001B4719">
      <w:pPr>
        <w:pStyle w:val="Odrka1"/>
        <w:jc w:val="both"/>
      </w:pPr>
      <w:r w:rsidRPr="00403268" w:rsidDel="00533195">
        <w:rPr>
          <w:b/>
        </w:rPr>
        <w:t>Rychlé dobíjení v</w:t>
      </w:r>
      <w:r w:rsidR="00546698">
        <w:rPr>
          <w:b/>
        </w:rPr>
        <w:t> </w:t>
      </w:r>
      <w:r w:rsidRPr="00403268" w:rsidDel="00533195">
        <w:rPr>
          <w:b/>
        </w:rPr>
        <w:t>délce maximálně nízkých desítek minut</w:t>
      </w:r>
      <w:r w:rsidDel="00533195">
        <w:t>, kdy dle velikosti požadovaného výkonu dobíjecí stanice, je možné připojení jak z</w:t>
      </w:r>
      <w:r w:rsidR="00546698">
        <w:t> </w:t>
      </w:r>
      <w:r w:rsidDel="00533195">
        <w:t xml:space="preserve">hladiny </w:t>
      </w:r>
      <w:r>
        <w:t>NN</w:t>
      </w:r>
      <w:r w:rsidDel="00533195">
        <w:t xml:space="preserve"> (v závislosti na lokálních podmínkách, výkon dobíjecí stanice cca do 100 kW), tak z</w:t>
      </w:r>
      <w:r w:rsidR="00546698">
        <w:t> </w:t>
      </w:r>
      <w:r w:rsidDel="00533195">
        <w:t>hladiny vysokého napětí</w:t>
      </w:r>
      <w:r>
        <w:t xml:space="preserve"> (VN)</w:t>
      </w:r>
      <w:r w:rsidDel="00533195">
        <w:t>.</w:t>
      </w:r>
    </w:p>
    <w:p w14:paraId="51E02C73" w14:textId="77777777" w:rsidR="001B4719" w:rsidDel="00533195" w:rsidRDefault="001B4719" w:rsidP="001B4719">
      <w:pPr>
        <w:jc w:val="both"/>
      </w:pPr>
      <w:r w:rsidDel="00533195">
        <w:t>Cena za odběr elektřiny se skládá z</w:t>
      </w:r>
      <w:r w:rsidR="00546698">
        <w:t> </w:t>
      </w:r>
      <w:r w:rsidDel="00533195">
        <w:t>dvou hlavních složek:</w:t>
      </w:r>
    </w:p>
    <w:p w14:paraId="20161211" w14:textId="77777777" w:rsidR="001B4719" w:rsidRPr="00403268" w:rsidDel="00533195" w:rsidRDefault="001B4719" w:rsidP="001B4719">
      <w:pPr>
        <w:pStyle w:val="Odrka1"/>
        <w:jc w:val="both"/>
      </w:pPr>
      <w:r w:rsidRPr="00403268" w:rsidDel="00533195">
        <w:rPr>
          <w:b/>
        </w:rPr>
        <w:t>Neregulovaná platba</w:t>
      </w:r>
      <w:r w:rsidRPr="00403268" w:rsidDel="00533195">
        <w:t>, tj. platba za komoditu tzv. „silovou elektřinu“. Tato platba je do značné míry nezávislá na místě připojení zákazníka, je podmíněna zejména velikostí a</w:t>
      </w:r>
      <w:r w:rsidR="00546698">
        <w:t> </w:t>
      </w:r>
      <w:r w:rsidRPr="00403268" w:rsidDel="00533195">
        <w:t>průběhem odběru elektřiny a</w:t>
      </w:r>
      <w:r w:rsidR="00546698">
        <w:t> </w:t>
      </w:r>
      <w:r w:rsidR="00B20629">
        <w:t>tržní nabídkou</w:t>
      </w:r>
      <w:r w:rsidRPr="00403268" w:rsidDel="00533195">
        <w:t xml:space="preserve"> jednotlivých dodavatelů elektřiny.</w:t>
      </w:r>
    </w:p>
    <w:p w14:paraId="09BFEB4C" w14:textId="77777777" w:rsidR="001B4719" w:rsidRPr="00403268" w:rsidDel="00533195" w:rsidRDefault="001B4719" w:rsidP="001B4719">
      <w:pPr>
        <w:pStyle w:val="Odrka1"/>
        <w:jc w:val="both"/>
      </w:pPr>
      <w:r w:rsidRPr="00403268" w:rsidDel="00533195">
        <w:rPr>
          <w:b/>
        </w:rPr>
        <w:t>Regulovaná platba</w:t>
      </w:r>
      <w:r w:rsidRPr="00403268" w:rsidDel="00533195">
        <w:t>, která je stanovena Energetickým regulačním úřadem (ERÚ) a</w:t>
      </w:r>
      <w:r w:rsidR="00546698">
        <w:t> </w:t>
      </w:r>
      <w:r w:rsidRPr="00403268" w:rsidDel="00533195">
        <w:t>její velikost se významně liší podle napěťové hladiny připojení do distribuční soustavy a</w:t>
      </w:r>
      <w:r w:rsidR="00546698">
        <w:t> </w:t>
      </w:r>
      <w:r w:rsidRPr="00403268" w:rsidDel="00533195">
        <w:t>distribučního tarifu, který si odběratel elektřiny může zvolit (př</w:t>
      </w:r>
      <w:r w:rsidDel="00533195">
        <w:t>i splnění podmínek dané sazby).</w:t>
      </w:r>
    </w:p>
    <w:p w14:paraId="22B28346" w14:textId="77777777" w:rsidR="001B4719" w:rsidRPr="00760246" w:rsidDel="00533195" w:rsidRDefault="001B4719" w:rsidP="001B4719">
      <w:pPr>
        <w:jc w:val="both"/>
      </w:pPr>
      <w:r w:rsidRPr="00760246" w:rsidDel="00533195">
        <w:t xml:space="preserve">Z pohledu připojení do jednotlivých napěťových hladin lze </w:t>
      </w:r>
      <w:r w:rsidDel="00533195">
        <w:t>popsat platby za odběry následujícím způsobem:</w:t>
      </w:r>
    </w:p>
    <w:p w14:paraId="3562E4E7" w14:textId="77777777" w:rsidR="001B4719" w:rsidDel="00533195" w:rsidRDefault="001B4719" w:rsidP="001B4719">
      <w:pPr>
        <w:jc w:val="both"/>
      </w:pPr>
      <w:r w:rsidRPr="00CC6B8E" w:rsidDel="00533195">
        <w:t xml:space="preserve">Na hladině </w:t>
      </w:r>
      <w:r w:rsidRPr="00CC6B8E" w:rsidDel="00533195">
        <w:rPr>
          <w:b/>
        </w:rPr>
        <w:t>nízkého napětí</w:t>
      </w:r>
      <w:r w:rsidDel="00533195">
        <w:t xml:space="preserve"> je tarifní struktura velmi členitá a</w:t>
      </w:r>
      <w:r w:rsidR="00546698">
        <w:t> </w:t>
      </w:r>
      <w:r w:rsidDel="00533195">
        <w:t>je diferencovaná následovně (již v</w:t>
      </w:r>
      <w:r w:rsidR="00546698">
        <w:t> </w:t>
      </w:r>
      <w:r w:rsidDel="00533195">
        <w:t xml:space="preserve">současnosti </w:t>
      </w:r>
      <w:r w:rsidRPr="00CC6B8E" w:rsidDel="00533195">
        <w:t>v</w:t>
      </w:r>
      <w:r w:rsidR="00546698">
        <w:t> </w:t>
      </w:r>
      <w:r w:rsidRPr="00CC6B8E" w:rsidDel="00533195">
        <w:t>zásadě reflektuje problematiku dobíjení elektromobilů</w:t>
      </w:r>
      <w:r w:rsidDel="00533195">
        <w:t>). Detailně jsou jednotlivé sazby a</w:t>
      </w:r>
      <w:r w:rsidR="00546698">
        <w:t> </w:t>
      </w:r>
      <w:r w:rsidDel="00533195">
        <w:t>podmínky pro jejich udělení popsány v</w:t>
      </w:r>
      <w:r w:rsidR="00546698">
        <w:t> </w:t>
      </w:r>
      <w:r w:rsidDel="00533195">
        <w:t>cenovém rozhodnutí ERÚ:</w:t>
      </w:r>
    </w:p>
    <w:p w14:paraId="2DF44EE8" w14:textId="77777777" w:rsidR="001B4719" w:rsidRPr="00CC6B8E" w:rsidDel="00533195" w:rsidRDefault="001B4719" w:rsidP="001B4719">
      <w:pPr>
        <w:pStyle w:val="Odrka1"/>
        <w:jc w:val="both"/>
      </w:pPr>
      <w:r w:rsidRPr="00CC6B8E" w:rsidDel="00533195">
        <w:rPr>
          <w:b/>
        </w:rPr>
        <w:t>Typ odběratele</w:t>
      </w:r>
      <w:r w:rsidRPr="00CC6B8E" w:rsidDel="00533195">
        <w:t>: maloodběr obyvatelstva (tzv. sazby „D“) a</w:t>
      </w:r>
      <w:r w:rsidR="00546698">
        <w:t> </w:t>
      </w:r>
      <w:r w:rsidRPr="00CC6B8E" w:rsidDel="00533195">
        <w:t>podnikatelů (tzv. sazby „C“)</w:t>
      </w:r>
    </w:p>
    <w:p w14:paraId="1083DDB8" w14:textId="77777777" w:rsidR="001B4719" w:rsidRPr="00CC6B8E" w:rsidDel="00533195" w:rsidRDefault="001B4719" w:rsidP="001B4719">
      <w:pPr>
        <w:pStyle w:val="Odrka1"/>
        <w:jc w:val="both"/>
      </w:pPr>
      <w:r w:rsidRPr="00CC6B8E" w:rsidDel="00533195">
        <w:rPr>
          <w:b/>
        </w:rPr>
        <w:t>Charakter odběrů</w:t>
      </w:r>
      <w:r w:rsidRPr="00CC6B8E" w:rsidDel="00533195">
        <w:t xml:space="preserve"> jednotarifní sazby (dle celkového ročního odběru), dvoutarifní sazby (sazby pro elektrokotle, elektromobily, tepelná čerpadla atd.) </w:t>
      </w:r>
    </w:p>
    <w:p w14:paraId="2DDDA19A" w14:textId="77777777" w:rsidR="001B4719" w:rsidDel="00533195" w:rsidRDefault="001B4719" w:rsidP="001B4719">
      <w:pPr>
        <w:jc w:val="both"/>
      </w:pPr>
      <w:r w:rsidRPr="00CC6B8E" w:rsidDel="00533195">
        <w:t xml:space="preserve">Na hladině </w:t>
      </w:r>
      <w:r w:rsidRPr="00CC6B8E" w:rsidDel="00533195">
        <w:rPr>
          <w:b/>
        </w:rPr>
        <w:t>vysokého a</w:t>
      </w:r>
      <w:r w:rsidR="00546698">
        <w:rPr>
          <w:b/>
        </w:rPr>
        <w:t> </w:t>
      </w:r>
      <w:r w:rsidRPr="00CC6B8E" w:rsidDel="00533195">
        <w:rPr>
          <w:b/>
        </w:rPr>
        <w:t>velmi vysokého napětí</w:t>
      </w:r>
      <w:r w:rsidDel="00533195">
        <w:t xml:space="preserve"> je tarifní struktura významně jednoduší a</w:t>
      </w:r>
      <w:r w:rsidR="00546698">
        <w:t> </w:t>
      </w:r>
      <w:r w:rsidDel="00533195">
        <w:t>prakticky jsou možné dvě následující možnosti:</w:t>
      </w:r>
    </w:p>
    <w:p w14:paraId="2A8D6EE8" w14:textId="77777777" w:rsidR="001B4719" w:rsidRPr="00CC6B8E" w:rsidDel="00533195" w:rsidRDefault="001B4719" w:rsidP="001B4719">
      <w:pPr>
        <w:pStyle w:val="Odrka1"/>
        <w:jc w:val="both"/>
      </w:pPr>
      <w:r w:rsidRPr="00CC6B8E" w:rsidDel="00533195">
        <w:rPr>
          <w:b/>
        </w:rPr>
        <w:t>Jednosložková cena</w:t>
      </w:r>
      <w:r>
        <w:rPr>
          <w:b/>
        </w:rPr>
        <w:t xml:space="preserve"> </w:t>
      </w:r>
      <w:r>
        <w:t xml:space="preserve">(pro </w:t>
      </w:r>
      <w:r w:rsidRPr="00CC6B8E" w:rsidDel="00533195">
        <w:t>odběratel</w:t>
      </w:r>
      <w:r>
        <w:t>e</w:t>
      </w:r>
      <w:r w:rsidRPr="00CC6B8E" w:rsidDel="00533195">
        <w:t xml:space="preserve"> s</w:t>
      </w:r>
      <w:r w:rsidR="00546698">
        <w:t> </w:t>
      </w:r>
      <w:r w:rsidRPr="00CC6B8E" w:rsidDel="00533195">
        <w:t>velmi nízkým ročním odběrem elektřiny, ale vyšší potřebou rezervace kapacity. Aktuální konstrukce jednosložkové ceny předpokládá, že rezervovaná kapacita připojení je využita po dobu 300 hodin za rok a</w:t>
      </w:r>
      <w:r w:rsidR="00546698">
        <w:t> </w:t>
      </w:r>
      <w:r w:rsidRPr="00CC6B8E" w:rsidDel="00533195">
        <w:t>méně.</w:t>
      </w:r>
    </w:p>
    <w:p w14:paraId="0EE48B95" w14:textId="77777777" w:rsidR="001B4719" w:rsidRPr="00CC6B8E" w:rsidDel="00533195" w:rsidRDefault="001B4719" w:rsidP="001B4719">
      <w:pPr>
        <w:pStyle w:val="Odrka1"/>
        <w:jc w:val="both"/>
      </w:pPr>
      <w:r w:rsidRPr="00CC6B8E" w:rsidDel="00533195">
        <w:rPr>
          <w:b/>
        </w:rPr>
        <w:t>Dvousložková cena</w:t>
      </w:r>
      <w:r w:rsidRPr="00CC6B8E" w:rsidDel="00533195">
        <w:t>, která se skládá z</w:t>
      </w:r>
      <w:r w:rsidR="00546698">
        <w:t> </w:t>
      </w:r>
      <w:r w:rsidRPr="00CC6B8E" w:rsidDel="00533195">
        <w:t>ceny za rezervaci kapacity (platby v</w:t>
      </w:r>
      <w:r w:rsidR="00546698">
        <w:t> </w:t>
      </w:r>
      <w:r w:rsidRPr="00CC6B8E" w:rsidDel="00533195">
        <w:t>Kč/MW rezervované kapacity) a</w:t>
      </w:r>
      <w:r w:rsidR="00546698">
        <w:t> </w:t>
      </w:r>
      <w:r w:rsidRPr="00CC6B8E" w:rsidDel="00533195">
        <w:t xml:space="preserve">platby za použití sítě (platba za odběr Kč/MWh). </w:t>
      </w:r>
      <w:r w:rsidRPr="00660186">
        <w:t>Dvousložková cena je výhodnější u</w:t>
      </w:r>
      <w:r w:rsidR="00546698">
        <w:t> </w:t>
      </w:r>
      <w:r w:rsidRPr="00660186">
        <w:t xml:space="preserve">odběrů nad </w:t>
      </w:r>
      <w:r w:rsidRPr="00CC6B8E" w:rsidDel="00533195">
        <w:t>300 hodin za rok.</w:t>
      </w:r>
    </w:p>
    <w:p w14:paraId="70CB89AD" w14:textId="77777777" w:rsidR="001B4719" w:rsidRPr="00FD7A23" w:rsidRDefault="001B4719" w:rsidP="001B4719">
      <w:pPr>
        <w:jc w:val="both"/>
        <w:rPr>
          <w:u w:val="single"/>
        </w:rPr>
      </w:pPr>
      <w:r w:rsidRPr="00FD7A23">
        <w:rPr>
          <w:u w:val="single"/>
        </w:rPr>
        <w:t>Dobíjení elektrických prostředků MHD z</w:t>
      </w:r>
      <w:r w:rsidR="00546698">
        <w:rPr>
          <w:u w:val="single"/>
        </w:rPr>
        <w:t> </w:t>
      </w:r>
      <w:r w:rsidRPr="00FD7A23">
        <w:rPr>
          <w:u w:val="single"/>
        </w:rPr>
        <w:t>pohledu tarifní struktury, zdanění a</w:t>
      </w:r>
      <w:r w:rsidR="00546698">
        <w:rPr>
          <w:u w:val="single"/>
        </w:rPr>
        <w:t> </w:t>
      </w:r>
      <w:r w:rsidRPr="00FD7A23">
        <w:rPr>
          <w:u w:val="single"/>
        </w:rPr>
        <w:t>nákladů na odběr elektřiny</w:t>
      </w:r>
    </w:p>
    <w:p w14:paraId="4B6D94AD" w14:textId="77777777" w:rsidR="001B4719" w:rsidRDefault="001B4719" w:rsidP="001B4719">
      <w:pPr>
        <w:jc w:val="both"/>
      </w:pPr>
      <w:r>
        <w:t>V této oblasti došlo k</w:t>
      </w:r>
      <w:r w:rsidR="00546698">
        <w:t> </w:t>
      </w:r>
      <w:r>
        <w:t>rychlému technickému pokroku a</w:t>
      </w:r>
      <w:r w:rsidR="00546698">
        <w:t> </w:t>
      </w:r>
      <w:r>
        <w:t>využívá se kombinace více technologií a</w:t>
      </w:r>
      <w:r w:rsidR="00546698">
        <w:t> </w:t>
      </w:r>
      <w:r>
        <w:t>provozních modelů. To však naráží na nepřipravenost legislativního a</w:t>
      </w:r>
      <w:r w:rsidR="00546698">
        <w:t> </w:t>
      </w:r>
      <w:r>
        <w:t>regulatorního rámce, konkrétně:</w:t>
      </w:r>
    </w:p>
    <w:p w14:paraId="45EDA12A" w14:textId="77777777" w:rsidR="001B4719" w:rsidRDefault="001B4719" w:rsidP="001B4719">
      <w:pPr>
        <w:pStyle w:val="Bullet1"/>
        <w:jc w:val="both"/>
      </w:pPr>
      <w:r>
        <w:t>Rozdílnost zdanění elektrické energie u</w:t>
      </w:r>
      <w:r w:rsidR="00546698">
        <w:t> </w:t>
      </w:r>
      <w:r>
        <w:t>vozidel závislé trakce (trolejbusy, tramvaje) a</w:t>
      </w:r>
      <w:r w:rsidR="00546698">
        <w:t> </w:t>
      </w:r>
      <w:r>
        <w:t>vozidel silničních (elektrobusů, případně elektromobilů), kdy je navíc v</w:t>
      </w:r>
      <w:r w:rsidR="00546698">
        <w:t> </w:t>
      </w:r>
      <w:r>
        <w:t>některých případech využívána drážní infrastruktura k</w:t>
      </w:r>
      <w:r w:rsidR="00546698">
        <w:t> </w:t>
      </w:r>
      <w:r>
        <w:t>dobíjení silničních vozidel (otázka nutnosti měření, dodatečného zdanění a</w:t>
      </w:r>
      <w:r w:rsidR="00546698">
        <w:t> </w:t>
      </w:r>
      <w:r>
        <w:t>tarifu).</w:t>
      </w:r>
    </w:p>
    <w:p w14:paraId="484CACD0" w14:textId="77777777" w:rsidR="001B4719" w:rsidRDefault="001B4719" w:rsidP="001B4719">
      <w:pPr>
        <w:pStyle w:val="Bullet1"/>
        <w:jc w:val="both"/>
      </w:pPr>
      <w:r>
        <w:t>Problematika plateb za rezervovaný příkon v</w:t>
      </w:r>
      <w:r w:rsidR="00546698">
        <w:t> </w:t>
      </w:r>
      <w:r>
        <w:t>případě několika oddělených přípojných bodů bez galvanického propojení, kde by sdružení měníren i</w:t>
      </w:r>
      <w:r w:rsidR="00546698">
        <w:t> </w:t>
      </w:r>
      <w:r>
        <w:t>dobíjecích stanic daného systému MHD do jednoho virtuálního odběrového místa odstranilo jednu z</w:t>
      </w:r>
      <w:r w:rsidR="00546698">
        <w:t> </w:t>
      </w:r>
      <w:r>
        <w:t>překážek rozvoje bateriových vozidel ve veřejné dopravě.</w:t>
      </w:r>
    </w:p>
    <w:p w14:paraId="408E7843" w14:textId="77777777" w:rsidR="001B4719" w:rsidRPr="003D6C0F" w:rsidRDefault="001B4719" w:rsidP="001B4719">
      <w:pPr>
        <w:pStyle w:val="Bullet1"/>
        <w:jc w:val="both"/>
      </w:pPr>
      <w:r>
        <w:lastRenderedPageBreak/>
        <w:t>Platba příspěvku na OZE, která se vztahuje i</w:t>
      </w:r>
      <w:r w:rsidR="00546698">
        <w:t> </w:t>
      </w:r>
      <w:r>
        <w:t>na elektrická vozidla MHD. Osvobození elektrické MHD od tohoto příspěvku z</w:t>
      </w:r>
      <w:r w:rsidR="00546698">
        <w:t> </w:t>
      </w:r>
      <w:r>
        <w:t>titulu jejího přínosu pro životní prostředí a</w:t>
      </w:r>
      <w:r w:rsidR="00546698">
        <w:t> </w:t>
      </w:r>
      <w:r>
        <w:t>plnění cílů snižování emisí CO</w:t>
      </w:r>
      <w:r w:rsidRPr="00FD7A23">
        <w:rPr>
          <w:vertAlign w:val="subscript"/>
        </w:rPr>
        <w:t>2</w:t>
      </w:r>
      <w:r>
        <w:t xml:space="preserve"> by mohlo být dalším stimulem pro rozvoj této oblasti elektromobility.</w:t>
      </w:r>
    </w:p>
    <w:p w14:paraId="34A86DDE" w14:textId="77777777" w:rsidR="001B4719" w:rsidRPr="001F2657" w:rsidRDefault="001B4719" w:rsidP="001B4719">
      <w:pPr>
        <w:pStyle w:val="Nadpis3"/>
        <w:numPr>
          <w:ilvl w:val="2"/>
          <w:numId w:val="9"/>
        </w:numPr>
        <w:tabs>
          <w:tab w:val="left" w:pos="851"/>
          <w:tab w:val="num" w:pos="2411"/>
        </w:tabs>
        <w:ind w:left="284" w:firstLine="0"/>
        <w:jc w:val="both"/>
      </w:pPr>
      <w:bookmarkStart w:id="190" w:name="_Toc12540129"/>
      <w:bookmarkStart w:id="191" w:name="_Toc19792311"/>
      <w:bookmarkStart w:id="192" w:name="_Toc25084470"/>
      <w:bookmarkStart w:id="193" w:name="_Toc25136791"/>
      <w:bookmarkStart w:id="194" w:name="_Toc34295917"/>
      <w:r w:rsidRPr="001F2657">
        <w:t>Očekávaný budoucí vývoj</w:t>
      </w:r>
      <w:bookmarkEnd w:id="190"/>
      <w:bookmarkEnd w:id="191"/>
      <w:bookmarkEnd w:id="192"/>
      <w:bookmarkEnd w:id="193"/>
      <w:bookmarkEnd w:id="194"/>
    </w:p>
    <w:p w14:paraId="3C8BBB16" w14:textId="77777777" w:rsidR="001B4719" w:rsidRDefault="001B4719" w:rsidP="001B4719">
      <w:pPr>
        <w:pStyle w:val="Nadpis4"/>
        <w:numPr>
          <w:ilvl w:val="3"/>
          <w:numId w:val="9"/>
        </w:numPr>
        <w:jc w:val="both"/>
      </w:pPr>
      <w:bookmarkStart w:id="195" w:name="_Toc12540130"/>
      <w:bookmarkStart w:id="196" w:name="_Toc19792312"/>
      <w:bookmarkStart w:id="197" w:name="_Toc25136792"/>
      <w:bookmarkStart w:id="198" w:name="_Toc34295918"/>
      <w:r>
        <w:t>Projek</w:t>
      </w:r>
      <w:r w:rsidRPr="009D7F5B">
        <w:rPr>
          <w:rStyle w:val="Nadpis4Char"/>
          <w:b/>
        </w:rPr>
        <w:t>c</w:t>
      </w:r>
      <w:r>
        <w:t>e počtu vozidel</w:t>
      </w:r>
      <w:bookmarkEnd w:id="195"/>
      <w:bookmarkEnd w:id="196"/>
      <w:bookmarkEnd w:id="197"/>
      <w:bookmarkEnd w:id="198"/>
    </w:p>
    <w:p w14:paraId="579501E0" w14:textId="77777777" w:rsidR="001B4719" w:rsidRDefault="001B4719" w:rsidP="001B4719">
      <w:pPr>
        <w:jc w:val="both"/>
      </w:pPr>
      <w:r>
        <w:t>Pro účely aktualizace NAP CM nebyla zpracována specifická predikce počtu elektromobilů. Existuje však několik pramenů, ze kterých lze vycházet. Obecně platí, že predikce zpracované pro různé účely budou vykazovat odlišnosti z</w:t>
      </w:r>
      <w:r w:rsidR="00546698">
        <w:t> </w:t>
      </w:r>
      <w:r>
        <w:t>důvodu použité metodiky a</w:t>
      </w:r>
      <w:r w:rsidR="00546698">
        <w:t> </w:t>
      </w:r>
      <w:r>
        <w:t>vstupních předpokladů. Hlavními zdroji odhadů počtů vozidel tedy byly následující projekce.</w:t>
      </w:r>
    </w:p>
    <w:p w14:paraId="0A75C1C6" w14:textId="77777777" w:rsidR="001B4719" w:rsidRPr="00255A20" w:rsidRDefault="001B4719" w:rsidP="001B4719">
      <w:pPr>
        <w:jc w:val="both"/>
        <w:rPr>
          <w:b/>
        </w:rPr>
      </w:pPr>
      <w:r w:rsidRPr="00255A20">
        <w:rPr>
          <w:b/>
        </w:rPr>
        <w:t>Projekce zpracovaná pro účely NAP SG</w:t>
      </w:r>
    </w:p>
    <w:p w14:paraId="629782C6" w14:textId="77777777" w:rsidR="000050AA" w:rsidRPr="000050AA" w:rsidRDefault="001B4719" w:rsidP="000050AA">
      <w:pPr>
        <w:jc w:val="both"/>
      </w:pPr>
      <w:r>
        <w:t>Pro účely analýz v</w:t>
      </w:r>
      <w:r w:rsidR="00546698">
        <w:t> </w:t>
      </w:r>
      <w:r>
        <w:t>rámci NAP SG byla zpracována projekce počtu elektromobilů, která v</w:t>
      </w:r>
      <w:r w:rsidR="00546698">
        <w:t> </w:t>
      </w:r>
      <w:r>
        <w:t>několika scénářích odhaduje možný počet elektromobilů (v podobě čistých elektromobilů, tedy BEV) v</w:t>
      </w:r>
      <w:r w:rsidR="00546698">
        <w:t> </w:t>
      </w:r>
      <w:r>
        <w:t>ČR do roku 2030. Výsledky jednotlivých scénářů (zaokrouhlené dle řádu příslušného počtu vozidel) jsou shrnuty níže:</w:t>
      </w:r>
    </w:p>
    <w:p w14:paraId="6980C875" w14:textId="77777777" w:rsidR="000050AA" w:rsidRDefault="000050AA" w:rsidP="000050AA">
      <w:pPr>
        <w:pStyle w:val="Titulek"/>
        <w:keepNext/>
      </w:pPr>
      <w:bookmarkStart w:id="199" w:name="_Toc34295861"/>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2</w:t>
      </w:r>
      <w:r w:rsidR="001614BC">
        <w:rPr>
          <w:noProof/>
        </w:rPr>
        <w:fldChar w:fldCharType="end"/>
      </w:r>
      <w:r w:rsidRPr="000050AA">
        <w:t xml:space="preserve"> </w:t>
      </w:r>
      <w:r>
        <w:t>Projekce počtu vozidel - nízký scénář</w:t>
      </w:r>
      <w:bookmarkEnd w:id="199"/>
    </w:p>
    <w:tbl>
      <w:tblPr>
        <w:tblW w:w="5000" w:type="pct"/>
        <w:tblLook w:val="04A0" w:firstRow="1" w:lastRow="0" w:firstColumn="1" w:lastColumn="0" w:noHBand="0" w:noVBand="1"/>
      </w:tblPr>
      <w:tblGrid>
        <w:gridCol w:w="3465"/>
        <w:gridCol w:w="2048"/>
        <w:gridCol w:w="2048"/>
        <w:gridCol w:w="2047"/>
      </w:tblGrid>
      <w:tr w:rsidR="001B4719" w14:paraId="419E7B88" w14:textId="77777777" w:rsidTr="000050AA">
        <w:trPr>
          <w:tblHeader/>
        </w:trPr>
        <w:tc>
          <w:tcPr>
            <w:tcW w:w="1803" w:type="pct"/>
            <w:tcBorders>
              <w:top w:val="single" w:sz="12" w:space="0" w:color="auto"/>
              <w:left w:val="single" w:sz="12" w:space="0" w:color="auto"/>
              <w:bottom w:val="single" w:sz="12" w:space="0" w:color="auto"/>
              <w:right w:val="single" w:sz="4" w:space="0" w:color="auto"/>
            </w:tcBorders>
            <w:shd w:val="clear" w:color="auto" w:fill="548DD4"/>
            <w:hideMark/>
          </w:tcPr>
          <w:p w14:paraId="0C972B3D" w14:textId="77777777" w:rsidR="001B4719" w:rsidRPr="009D7F5B" w:rsidRDefault="001B4719" w:rsidP="000050AA">
            <w:pPr>
              <w:spacing w:before="60" w:after="60"/>
              <w:jc w:val="both"/>
              <w:rPr>
                <w:b/>
                <w:color w:val="FFFFFF" w:themeColor="background1"/>
                <w:sz w:val="24"/>
              </w:rPr>
            </w:pPr>
            <w:r w:rsidRPr="009D7F5B">
              <w:rPr>
                <w:b/>
                <w:color w:val="FFFFFF" w:themeColor="background1"/>
              </w:rPr>
              <w:t>Kategorie vozidel</w:t>
            </w:r>
          </w:p>
        </w:tc>
        <w:tc>
          <w:tcPr>
            <w:tcW w:w="1066" w:type="pct"/>
            <w:tcBorders>
              <w:top w:val="single" w:sz="12" w:space="0" w:color="auto"/>
              <w:left w:val="single" w:sz="4" w:space="0" w:color="auto"/>
              <w:bottom w:val="single" w:sz="12" w:space="0" w:color="auto"/>
              <w:right w:val="single" w:sz="4" w:space="0" w:color="auto"/>
            </w:tcBorders>
            <w:shd w:val="clear" w:color="auto" w:fill="548DD4"/>
            <w:vAlign w:val="center"/>
            <w:hideMark/>
          </w:tcPr>
          <w:p w14:paraId="1E628ADE" w14:textId="77777777" w:rsidR="001B4719" w:rsidRPr="009D7F5B" w:rsidRDefault="001B4719" w:rsidP="000050AA">
            <w:pPr>
              <w:spacing w:before="60" w:after="60"/>
              <w:jc w:val="both"/>
              <w:rPr>
                <w:b/>
                <w:color w:val="FFFFFF" w:themeColor="background1"/>
                <w:sz w:val="24"/>
              </w:rPr>
            </w:pPr>
            <w:r w:rsidRPr="009D7F5B">
              <w:rPr>
                <w:b/>
                <w:color w:val="FFFFFF" w:themeColor="background1"/>
              </w:rPr>
              <w:t>Počet vozidel</w:t>
            </w:r>
          </w:p>
        </w:tc>
        <w:tc>
          <w:tcPr>
            <w:tcW w:w="1066" w:type="pct"/>
            <w:tcBorders>
              <w:top w:val="single" w:sz="12" w:space="0" w:color="auto"/>
              <w:left w:val="single" w:sz="4" w:space="0" w:color="auto"/>
              <w:bottom w:val="single" w:sz="12" w:space="0" w:color="auto"/>
              <w:right w:val="single" w:sz="4" w:space="0" w:color="auto"/>
            </w:tcBorders>
            <w:shd w:val="clear" w:color="auto" w:fill="548DD4"/>
            <w:vAlign w:val="center"/>
            <w:hideMark/>
          </w:tcPr>
          <w:p w14:paraId="457639F8" w14:textId="77777777" w:rsidR="001B4719" w:rsidRPr="009D7F5B" w:rsidRDefault="001B4719" w:rsidP="000050AA">
            <w:pPr>
              <w:spacing w:before="60" w:after="60"/>
              <w:jc w:val="both"/>
              <w:rPr>
                <w:b/>
                <w:color w:val="FFFFFF" w:themeColor="background1"/>
                <w:sz w:val="24"/>
              </w:rPr>
            </w:pPr>
            <w:r w:rsidRPr="009D7F5B">
              <w:rPr>
                <w:b/>
                <w:color w:val="FFFFFF" w:themeColor="background1"/>
              </w:rPr>
              <w:t>Podíl na celku</w:t>
            </w:r>
          </w:p>
        </w:tc>
        <w:tc>
          <w:tcPr>
            <w:tcW w:w="1066" w:type="pct"/>
            <w:tcBorders>
              <w:top w:val="single" w:sz="12" w:space="0" w:color="auto"/>
              <w:left w:val="single" w:sz="4" w:space="0" w:color="auto"/>
              <w:bottom w:val="single" w:sz="12" w:space="0" w:color="auto"/>
              <w:right w:val="single" w:sz="12" w:space="0" w:color="auto"/>
            </w:tcBorders>
            <w:shd w:val="clear" w:color="auto" w:fill="548DD4"/>
            <w:vAlign w:val="center"/>
            <w:hideMark/>
          </w:tcPr>
          <w:p w14:paraId="639AB855" w14:textId="77777777" w:rsidR="001B4719" w:rsidRPr="009D7F5B" w:rsidRDefault="001B4719" w:rsidP="00546698">
            <w:pPr>
              <w:spacing w:before="60" w:after="60"/>
              <w:jc w:val="both"/>
              <w:rPr>
                <w:b/>
                <w:color w:val="FFFFFF" w:themeColor="background1"/>
                <w:sz w:val="24"/>
              </w:rPr>
            </w:pPr>
            <w:r w:rsidRPr="009D7F5B">
              <w:rPr>
                <w:b/>
                <w:color w:val="FFFFFF" w:themeColor="background1"/>
              </w:rPr>
              <w:t>Spotřeba v</w:t>
            </w:r>
            <w:r w:rsidR="00546698">
              <w:rPr>
                <w:b/>
                <w:color w:val="FFFFFF" w:themeColor="background1"/>
              </w:rPr>
              <w:t> </w:t>
            </w:r>
            <w:r w:rsidRPr="009D7F5B">
              <w:rPr>
                <w:b/>
                <w:color w:val="FFFFFF" w:themeColor="background1"/>
              </w:rPr>
              <w:t>GWh</w:t>
            </w:r>
          </w:p>
        </w:tc>
      </w:tr>
      <w:tr w:rsidR="001B4719" w14:paraId="4BB64680" w14:textId="77777777" w:rsidTr="000050AA">
        <w:tc>
          <w:tcPr>
            <w:tcW w:w="1803" w:type="pct"/>
            <w:tcBorders>
              <w:top w:val="single" w:sz="12" w:space="0" w:color="auto"/>
              <w:left w:val="single" w:sz="12" w:space="0" w:color="auto"/>
              <w:bottom w:val="single" w:sz="4" w:space="0" w:color="auto"/>
              <w:right w:val="single" w:sz="4" w:space="0" w:color="auto"/>
            </w:tcBorders>
            <w:vAlign w:val="center"/>
            <w:hideMark/>
          </w:tcPr>
          <w:p w14:paraId="77F5E466" w14:textId="77777777" w:rsidR="001B4719" w:rsidRDefault="001B4719" w:rsidP="000050AA">
            <w:pPr>
              <w:spacing w:before="60" w:after="60"/>
              <w:jc w:val="both"/>
              <w:rPr>
                <w:sz w:val="24"/>
              </w:rPr>
            </w:pPr>
            <w:r>
              <w:t>Osobní vozy (kat. M1)</w:t>
            </w:r>
          </w:p>
        </w:tc>
        <w:tc>
          <w:tcPr>
            <w:tcW w:w="1066" w:type="pct"/>
            <w:tcBorders>
              <w:top w:val="single" w:sz="12" w:space="0" w:color="auto"/>
              <w:left w:val="single" w:sz="4" w:space="0" w:color="auto"/>
              <w:bottom w:val="single" w:sz="4" w:space="0" w:color="auto"/>
              <w:right w:val="single" w:sz="4" w:space="0" w:color="auto"/>
            </w:tcBorders>
            <w:vAlign w:val="center"/>
            <w:hideMark/>
          </w:tcPr>
          <w:p w14:paraId="2F480EA6" w14:textId="77777777" w:rsidR="001B4719" w:rsidRDefault="001B4719" w:rsidP="00C161E8">
            <w:pPr>
              <w:spacing w:before="60" w:after="60"/>
              <w:jc w:val="center"/>
              <w:rPr>
                <w:sz w:val="24"/>
              </w:rPr>
            </w:pPr>
            <w:r>
              <w:t>74 000</w:t>
            </w:r>
          </w:p>
        </w:tc>
        <w:tc>
          <w:tcPr>
            <w:tcW w:w="1066" w:type="pct"/>
            <w:tcBorders>
              <w:top w:val="single" w:sz="12" w:space="0" w:color="auto"/>
              <w:left w:val="single" w:sz="4" w:space="0" w:color="auto"/>
              <w:bottom w:val="single" w:sz="4" w:space="0" w:color="auto"/>
              <w:right w:val="single" w:sz="4" w:space="0" w:color="auto"/>
            </w:tcBorders>
            <w:vAlign w:val="center"/>
            <w:hideMark/>
          </w:tcPr>
          <w:p w14:paraId="7A66B7DD" w14:textId="77777777" w:rsidR="001B4719" w:rsidRDefault="001B4719" w:rsidP="00C161E8">
            <w:pPr>
              <w:spacing w:before="60" w:after="60"/>
              <w:jc w:val="center"/>
              <w:rPr>
                <w:sz w:val="24"/>
              </w:rPr>
            </w:pPr>
            <w:r>
              <w:t>1,33 %</w:t>
            </w:r>
          </w:p>
        </w:tc>
        <w:tc>
          <w:tcPr>
            <w:tcW w:w="1066" w:type="pct"/>
            <w:tcBorders>
              <w:top w:val="single" w:sz="12" w:space="0" w:color="auto"/>
              <w:left w:val="single" w:sz="4" w:space="0" w:color="auto"/>
              <w:bottom w:val="single" w:sz="4" w:space="0" w:color="auto"/>
              <w:right w:val="single" w:sz="12" w:space="0" w:color="auto"/>
            </w:tcBorders>
            <w:vAlign w:val="center"/>
            <w:hideMark/>
          </w:tcPr>
          <w:p w14:paraId="51A89704" w14:textId="77777777" w:rsidR="001B4719" w:rsidRDefault="001B4719" w:rsidP="00C161E8">
            <w:pPr>
              <w:spacing w:before="60" w:after="60"/>
              <w:jc w:val="center"/>
              <w:rPr>
                <w:sz w:val="24"/>
              </w:rPr>
            </w:pPr>
            <w:r>
              <w:t>110</w:t>
            </w:r>
          </w:p>
        </w:tc>
      </w:tr>
      <w:tr w:rsidR="001B4719" w14:paraId="2F10563F" w14:textId="77777777" w:rsidTr="000050AA">
        <w:tc>
          <w:tcPr>
            <w:tcW w:w="1803" w:type="pct"/>
            <w:tcBorders>
              <w:top w:val="single" w:sz="4" w:space="0" w:color="auto"/>
              <w:left w:val="single" w:sz="12" w:space="0" w:color="auto"/>
              <w:bottom w:val="single" w:sz="4" w:space="0" w:color="auto"/>
              <w:right w:val="single" w:sz="4" w:space="0" w:color="auto"/>
            </w:tcBorders>
            <w:vAlign w:val="center"/>
            <w:hideMark/>
          </w:tcPr>
          <w:p w14:paraId="2ABB725F" w14:textId="77777777" w:rsidR="001B4719" w:rsidRDefault="001B4719" w:rsidP="000050AA">
            <w:pPr>
              <w:spacing w:before="60" w:after="60"/>
              <w:jc w:val="both"/>
              <w:rPr>
                <w:sz w:val="24"/>
              </w:rPr>
            </w:pPr>
            <w:r>
              <w:t>Autobusy (kat. M2, M3)</w:t>
            </w:r>
          </w:p>
        </w:tc>
        <w:tc>
          <w:tcPr>
            <w:tcW w:w="1066" w:type="pct"/>
            <w:tcBorders>
              <w:top w:val="single" w:sz="4" w:space="0" w:color="auto"/>
              <w:left w:val="single" w:sz="4" w:space="0" w:color="auto"/>
              <w:bottom w:val="single" w:sz="4" w:space="0" w:color="auto"/>
              <w:right w:val="single" w:sz="4" w:space="0" w:color="auto"/>
            </w:tcBorders>
            <w:vAlign w:val="center"/>
            <w:hideMark/>
          </w:tcPr>
          <w:p w14:paraId="741F6021" w14:textId="77777777" w:rsidR="001B4719" w:rsidRDefault="001B4719" w:rsidP="00C161E8">
            <w:pPr>
              <w:spacing w:before="60" w:after="60"/>
              <w:jc w:val="center"/>
              <w:rPr>
                <w:sz w:val="24"/>
              </w:rPr>
            </w:pPr>
            <w:r>
              <w:t>300</w:t>
            </w:r>
          </w:p>
        </w:tc>
        <w:tc>
          <w:tcPr>
            <w:tcW w:w="1066" w:type="pct"/>
            <w:tcBorders>
              <w:top w:val="single" w:sz="4" w:space="0" w:color="auto"/>
              <w:left w:val="single" w:sz="4" w:space="0" w:color="auto"/>
              <w:bottom w:val="single" w:sz="4" w:space="0" w:color="auto"/>
              <w:right w:val="single" w:sz="4" w:space="0" w:color="auto"/>
            </w:tcBorders>
            <w:vAlign w:val="center"/>
            <w:hideMark/>
          </w:tcPr>
          <w:p w14:paraId="72B7C5F9" w14:textId="77777777" w:rsidR="001B4719" w:rsidRDefault="001B4719" w:rsidP="00C161E8">
            <w:pPr>
              <w:spacing w:before="60" w:after="60"/>
              <w:jc w:val="center"/>
              <w:rPr>
                <w:sz w:val="24"/>
              </w:rPr>
            </w:pPr>
            <w:r>
              <w:t>1,34 %</w:t>
            </w:r>
          </w:p>
        </w:tc>
        <w:tc>
          <w:tcPr>
            <w:tcW w:w="1066" w:type="pct"/>
            <w:tcBorders>
              <w:top w:val="single" w:sz="4" w:space="0" w:color="auto"/>
              <w:left w:val="single" w:sz="4" w:space="0" w:color="auto"/>
              <w:bottom w:val="single" w:sz="4" w:space="0" w:color="auto"/>
              <w:right w:val="single" w:sz="12" w:space="0" w:color="auto"/>
            </w:tcBorders>
            <w:vAlign w:val="center"/>
            <w:hideMark/>
          </w:tcPr>
          <w:p w14:paraId="0F32E88E" w14:textId="77777777" w:rsidR="001B4719" w:rsidRDefault="001B4719" w:rsidP="00C161E8">
            <w:pPr>
              <w:spacing w:before="60" w:after="60"/>
              <w:jc w:val="center"/>
              <w:rPr>
                <w:sz w:val="24"/>
              </w:rPr>
            </w:pPr>
            <w:r>
              <w:t>25</w:t>
            </w:r>
          </w:p>
        </w:tc>
      </w:tr>
      <w:tr w:rsidR="001B4719" w14:paraId="6BCCB2DD" w14:textId="77777777" w:rsidTr="000050AA">
        <w:tc>
          <w:tcPr>
            <w:tcW w:w="1803" w:type="pct"/>
            <w:tcBorders>
              <w:top w:val="single" w:sz="4" w:space="0" w:color="auto"/>
              <w:left w:val="single" w:sz="12" w:space="0" w:color="auto"/>
              <w:bottom w:val="single" w:sz="12" w:space="0" w:color="auto"/>
              <w:right w:val="single" w:sz="4" w:space="0" w:color="auto"/>
            </w:tcBorders>
            <w:vAlign w:val="center"/>
            <w:hideMark/>
          </w:tcPr>
          <w:p w14:paraId="20C96D61" w14:textId="77777777" w:rsidR="001B4719" w:rsidRDefault="001B4719" w:rsidP="000050AA">
            <w:pPr>
              <w:spacing w:before="60" w:after="60"/>
              <w:jc w:val="both"/>
              <w:rPr>
                <w:sz w:val="24"/>
              </w:rPr>
            </w:pPr>
            <w:r>
              <w:t>Užitkové vozy (kat. N1, N2, N3)</w:t>
            </w:r>
          </w:p>
        </w:tc>
        <w:tc>
          <w:tcPr>
            <w:tcW w:w="1066" w:type="pct"/>
            <w:tcBorders>
              <w:top w:val="single" w:sz="4" w:space="0" w:color="auto"/>
              <w:left w:val="single" w:sz="4" w:space="0" w:color="auto"/>
              <w:bottom w:val="single" w:sz="12" w:space="0" w:color="auto"/>
              <w:right w:val="single" w:sz="4" w:space="0" w:color="auto"/>
            </w:tcBorders>
            <w:vAlign w:val="center"/>
            <w:hideMark/>
          </w:tcPr>
          <w:p w14:paraId="6A75E872" w14:textId="77777777" w:rsidR="001B4719" w:rsidRDefault="001B4719" w:rsidP="00C161E8">
            <w:pPr>
              <w:spacing w:before="60" w:after="60"/>
              <w:jc w:val="center"/>
              <w:rPr>
                <w:sz w:val="24"/>
              </w:rPr>
            </w:pPr>
            <w:r>
              <w:t>7 000</w:t>
            </w:r>
          </w:p>
        </w:tc>
        <w:tc>
          <w:tcPr>
            <w:tcW w:w="1066" w:type="pct"/>
            <w:tcBorders>
              <w:top w:val="single" w:sz="4" w:space="0" w:color="auto"/>
              <w:left w:val="single" w:sz="4" w:space="0" w:color="auto"/>
              <w:bottom w:val="single" w:sz="12" w:space="0" w:color="auto"/>
              <w:right w:val="single" w:sz="4" w:space="0" w:color="auto"/>
            </w:tcBorders>
            <w:vAlign w:val="center"/>
            <w:hideMark/>
          </w:tcPr>
          <w:p w14:paraId="48633ED2" w14:textId="77777777" w:rsidR="001B4719" w:rsidRDefault="001B4719" w:rsidP="00C161E8">
            <w:pPr>
              <w:spacing w:before="60" w:after="60"/>
              <w:jc w:val="center"/>
              <w:rPr>
                <w:sz w:val="24"/>
              </w:rPr>
            </w:pPr>
            <w:r>
              <w:t>0,95 %</w:t>
            </w:r>
          </w:p>
        </w:tc>
        <w:tc>
          <w:tcPr>
            <w:tcW w:w="1066" w:type="pct"/>
            <w:tcBorders>
              <w:top w:val="single" w:sz="4" w:space="0" w:color="auto"/>
              <w:left w:val="single" w:sz="4" w:space="0" w:color="auto"/>
              <w:bottom w:val="single" w:sz="12" w:space="0" w:color="auto"/>
              <w:right w:val="single" w:sz="12" w:space="0" w:color="auto"/>
            </w:tcBorders>
            <w:vAlign w:val="center"/>
            <w:hideMark/>
          </w:tcPr>
          <w:p w14:paraId="226DDD3A" w14:textId="77777777" w:rsidR="001B4719" w:rsidRDefault="001B4719" w:rsidP="00C161E8">
            <w:pPr>
              <w:spacing w:before="60" w:after="60"/>
              <w:jc w:val="center"/>
              <w:rPr>
                <w:sz w:val="24"/>
              </w:rPr>
            </w:pPr>
            <w:r>
              <w:t>90</w:t>
            </w:r>
          </w:p>
        </w:tc>
      </w:tr>
    </w:tbl>
    <w:p w14:paraId="26F6BC5A" w14:textId="77777777" w:rsidR="00EF3C02" w:rsidRPr="00EF3C02" w:rsidRDefault="001B4719" w:rsidP="00EF3C02">
      <w:pPr>
        <w:jc w:val="both"/>
        <w:rPr>
          <w:b/>
        </w:rPr>
      </w:pPr>
      <w:r>
        <w:rPr>
          <w:i/>
        </w:rPr>
        <w:t>Zdroj: Euroenergy, 2018</w:t>
      </w:r>
    </w:p>
    <w:p w14:paraId="62A48A1B" w14:textId="77777777" w:rsidR="00EF3C02" w:rsidRDefault="00EF3C02" w:rsidP="00EF3C02">
      <w:pPr>
        <w:pStyle w:val="Titulek"/>
        <w:keepNext/>
      </w:pPr>
      <w:bookmarkStart w:id="200" w:name="_Toc34295862"/>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3</w:t>
      </w:r>
      <w:r w:rsidR="001614BC">
        <w:rPr>
          <w:noProof/>
        </w:rPr>
        <w:fldChar w:fldCharType="end"/>
      </w:r>
      <w:r w:rsidRPr="00EF3C02">
        <w:t xml:space="preserve"> </w:t>
      </w:r>
      <w:r w:rsidRPr="003F414F">
        <w:t xml:space="preserve">Projekce počtu vozidel - </w:t>
      </w:r>
      <w:r>
        <w:t>střední</w:t>
      </w:r>
      <w:r w:rsidRPr="003F414F">
        <w:t xml:space="preserve"> scénář</w:t>
      </w:r>
      <w:bookmarkEnd w:id="200"/>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65"/>
        <w:gridCol w:w="2048"/>
        <w:gridCol w:w="2048"/>
        <w:gridCol w:w="2047"/>
      </w:tblGrid>
      <w:tr w:rsidR="001B4719" w:rsidRPr="00882C9E" w14:paraId="2707D657" w14:textId="77777777" w:rsidTr="00EF3C02">
        <w:trPr>
          <w:tblHeader/>
        </w:trPr>
        <w:tc>
          <w:tcPr>
            <w:tcW w:w="1803" w:type="pct"/>
            <w:shd w:val="clear" w:color="auto" w:fill="548DD4"/>
          </w:tcPr>
          <w:p w14:paraId="5D531D9A" w14:textId="77777777" w:rsidR="001B4719" w:rsidRPr="009D7F5B" w:rsidRDefault="001B4719" w:rsidP="000050AA">
            <w:pPr>
              <w:spacing w:before="60" w:after="60"/>
              <w:jc w:val="both"/>
              <w:rPr>
                <w:b/>
                <w:color w:val="FFFFFF" w:themeColor="background1"/>
              </w:rPr>
            </w:pPr>
            <w:r w:rsidRPr="009D7F5B">
              <w:rPr>
                <w:b/>
                <w:color w:val="FFFFFF" w:themeColor="background1"/>
              </w:rPr>
              <w:t>Kategorie vozidel</w:t>
            </w:r>
          </w:p>
        </w:tc>
        <w:tc>
          <w:tcPr>
            <w:tcW w:w="1066" w:type="pct"/>
            <w:shd w:val="clear" w:color="auto" w:fill="548DD4"/>
            <w:vAlign w:val="center"/>
          </w:tcPr>
          <w:p w14:paraId="58A37715" w14:textId="77777777" w:rsidR="001B4719" w:rsidRPr="009D7F5B" w:rsidRDefault="001B4719" w:rsidP="000050AA">
            <w:pPr>
              <w:spacing w:before="60" w:after="60"/>
              <w:jc w:val="both"/>
              <w:rPr>
                <w:b/>
                <w:color w:val="FFFFFF" w:themeColor="background1"/>
              </w:rPr>
            </w:pPr>
            <w:r w:rsidRPr="009D7F5B">
              <w:rPr>
                <w:b/>
                <w:color w:val="FFFFFF" w:themeColor="background1"/>
              </w:rPr>
              <w:t>Počet vozidel</w:t>
            </w:r>
          </w:p>
        </w:tc>
        <w:tc>
          <w:tcPr>
            <w:tcW w:w="1066" w:type="pct"/>
            <w:shd w:val="clear" w:color="auto" w:fill="548DD4"/>
            <w:vAlign w:val="center"/>
          </w:tcPr>
          <w:p w14:paraId="121C4E2D" w14:textId="77777777" w:rsidR="001B4719" w:rsidRPr="009D7F5B" w:rsidRDefault="001B4719" w:rsidP="000050AA">
            <w:pPr>
              <w:spacing w:before="60" w:after="60"/>
              <w:jc w:val="both"/>
              <w:rPr>
                <w:b/>
                <w:color w:val="FFFFFF" w:themeColor="background1"/>
              </w:rPr>
            </w:pPr>
            <w:r w:rsidRPr="009D7F5B">
              <w:rPr>
                <w:b/>
                <w:color w:val="FFFFFF" w:themeColor="background1"/>
              </w:rPr>
              <w:t>Podíl na celku</w:t>
            </w:r>
          </w:p>
        </w:tc>
        <w:tc>
          <w:tcPr>
            <w:tcW w:w="1066" w:type="pct"/>
            <w:shd w:val="clear" w:color="auto" w:fill="548DD4"/>
            <w:vAlign w:val="center"/>
          </w:tcPr>
          <w:p w14:paraId="62EFDD40" w14:textId="77777777" w:rsidR="001B4719" w:rsidRPr="009D7F5B" w:rsidRDefault="001B4719" w:rsidP="00546698">
            <w:pPr>
              <w:spacing w:before="60" w:after="60"/>
              <w:jc w:val="both"/>
              <w:rPr>
                <w:b/>
                <w:color w:val="FFFFFF" w:themeColor="background1"/>
              </w:rPr>
            </w:pPr>
            <w:r w:rsidRPr="009D7F5B">
              <w:rPr>
                <w:b/>
                <w:color w:val="FFFFFF" w:themeColor="background1"/>
              </w:rPr>
              <w:t>Spotřeba v</w:t>
            </w:r>
            <w:r w:rsidR="00546698">
              <w:rPr>
                <w:b/>
                <w:color w:val="FFFFFF" w:themeColor="background1"/>
              </w:rPr>
              <w:t> </w:t>
            </w:r>
            <w:r w:rsidRPr="009D7F5B">
              <w:rPr>
                <w:b/>
                <w:color w:val="FFFFFF" w:themeColor="background1"/>
              </w:rPr>
              <w:t>GWh</w:t>
            </w:r>
          </w:p>
        </w:tc>
      </w:tr>
      <w:tr w:rsidR="001B4719" w:rsidRPr="00882C9E" w14:paraId="79F37BF4" w14:textId="77777777" w:rsidTr="00EF3C02">
        <w:tc>
          <w:tcPr>
            <w:tcW w:w="1803" w:type="pct"/>
            <w:vAlign w:val="center"/>
          </w:tcPr>
          <w:p w14:paraId="72B68545" w14:textId="77777777" w:rsidR="001B4719" w:rsidRPr="00284B99" w:rsidRDefault="001B4719" w:rsidP="000050AA">
            <w:pPr>
              <w:spacing w:before="60" w:after="60"/>
              <w:jc w:val="both"/>
            </w:pPr>
            <w:r w:rsidRPr="00284B99">
              <w:t>Osobní vozy (kat. M1)</w:t>
            </w:r>
          </w:p>
        </w:tc>
        <w:tc>
          <w:tcPr>
            <w:tcW w:w="1066" w:type="pct"/>
            <w:vAlign w:val="center"/>
          </w:tcPr>
          <w:p w14:paraId="5F2394B6" w14:textId="77777777" w:rsidR="001B4719" w:rsidRPr="00284B99" w:rsidRDefault="001B4719" w:rsidP="00C161E8">
            <w:pPr>
              <w:spacing w:before="60" w:after="60"/>
              <w:jc w:val="center"/>
            </w:pPr>
            <w:r>
              <w:t>200 000</w:t>
            </w:r>
          </w:p>
        </w:tc>
        <w:tc>
          <w:tcPr>
            <w:tcW w:w="1066" w:type="pct"/>
            <w:vAlign w:val="center"/>
          </w:tcPr>
          <w:p w14:paraId="730CF2A4" w14:textId="77777777" w:rsidR="001B4719" w:rsidRPr="00284B99" w:rsidRDefault="001B4719" w:rsidP="00C161E8">
            <w:pPr>
              <w:spacing w:before="60" w:after="60"/>
              <w:jc w:val="center"/>
            </w:pPr>
            <w:r w:rsidRPr="00284B99">
              <w:t>3,59</w:t>
            </w:r>
            <w:r w:rsidR="00B20629">
              <w:t xml:space="preserve"> </w:t>
            </w:r>
            <w:r w:rsidRPr="00284B99">
              <w:t>%</w:t>
            </w:r>
          </w:p>
        </w:tc>
        <w:tc>
          <w:tcPr>
            <w:tcW w:w="1066" w:type="pct"/>
            <w:vAlign w:val="center"/>
          </w:tcPr>
          <w:p w14:paraId="52C56654" w14:textId="77777777" w:rsidR="001B4719" w:rsidRPr="00284B99" w:rsidRDefault="001B4719" w:rsidP="00C161E8">
            <w:pPr>
              <w:spacing w:before="60" w:after="60"/>
              <w:jc w:val="center"/>
            </w:pPr>
            <w:r>
              <w:t>300</w:t>
            </w:r>
          </w:p>
        </w:tc>
      </w:tr>
      <w:tr w:rsidR="001B4719" w:rsidRPr="00882C9E" w14:paraId="0B3D06BB" w14:textId="77777777" w:rsidTr="00EF3C02">
        <w:tc>
          <w:tcPr>
            <w:tcW w:w="1803" w:type="pct"/>
            <w:vAlign w:val="center"/>
          </w:tcPr>
          <w:p w14:paraId="0CE73EDF" w14:textId="77777777" w:rsidR="001B4719" w:rsidRPr="00284B99" w:rsidRDefault="001B4719" w:rsidP="000050AA">
            <w:pPr>
              <w:spacing w:before="60" w:after="60"/>
              <w:jc w:val="both"/>
            </w:pPr>
            <w:r w:rsidRPr="00284B99">
              <w:t>Autobusy (kat. M2, M3)</w:t>
            </w:r>
          </w:p>
        </w:tc>
        <w:tc>
          <w:tcPr>
            <w:tcW w:w="1066" w:type="pct"/>
            <w:vAlign w:val="center"/>
          </w:tcPr>
          <w:p w14:paraId="1E63B4F9" w14:textId="77777777" w:rsidR="001B4719" w:rsidRPr="00284B99" w:rsidRDefault="001B4719" w:rsidP="00C161E8">
            <w:pPr>
              <w:spacing w:before="60" w:after="60"/>
              <w:jc w:val="center"/>
            </w:pPr>
            <w:r>
              <w:t>500</w:t>
            </w:r>
          </w:p>
        </w:tc>
        <w:tc>
          <w:tcPr>
            <w:tcW w:w="1066" w:type="pct"/>
            <w:vAlign w:val="center"/>
          </w:tcPr>
          <w:p w14:paraId="722284A1" w14:textId="77777777" w:rsidR="001B4719" w:rsidRPr="00284B99" w:rsidRDefault="001B4719" w:rsidP="00C161E8">
            <w:pPr>
              <w:spacing w:before="60" w:after="60"/>
              <w:jc w:val="center"/>
            </w:pPr>
            <w:r w:rsidRPr="00284B99">
              <w:t>2,72</w:t>
            </w:r>
            <w:r w:rsidR="00B20629">
              <w:t xml:space="preserve"> </w:t>
            </w:r>
            <w:r w:rsidRPr="00284B99">
              <w:t>%</w:t>
            </w:r>
          </w:p>
        </w:tc>
        <w:tc>
          <w:tcPr>
            <w:tcW w:w="1066" w:type="pct"/>
            <w:vAlign w:val="center"/>
          </w:tcPr>
          <w:p w14:paraId="3146FBF7" w14:textId="77777777" w:rsidR="001B4719" w:rsidRPr="00284B99" w:rsidRDefault="001B4719" w:rsidP="00C161E8">
            <w:pPr>
              <w:spacing w:before="60" w:after="60"/>
              <w:jc w:val="center"/>
            </w:pPr>
            <w:r>
              <w:t>50</w:t>
            </w:r>
          </w:p>
        </w:tc>
      </w:tr>
      <w:tr w:rsidR="001B4719" w:rsidRPr="00882C9E" w14:paraId="282F6D8B" w14:textId="77777777" w:rsidTr="00EF3C02">
        <w:tc>
          <w:tcPr>
            <w:tcW w:w="1803" w:type="pct"/>
            <w:vAlign w:val="center"/>
          </w:tcPr>
          <w:p w14:paraId="3F37D8CC" w14:textId="77777777" w:rsidR="001B4719" w:rsidRPr="00284B99" w:rsidRDefault="001B4719" w:rsidP="000050AA">
            <w:pPr>
              <w:spacing w:before="60" w:after="60"/>
              <w:jc w:val="both"/>
            </w:pPr>
            <w:r w:rsidRPr="00284B99">
              <w:t>Užitkové vozy (kat. N1, N2, N3)</w:t>
            </w:r>
          </w:p>
        </w:tc>
        <w:tc>
          <w:tcPr>
            <w:tcW w:w="1066" w:type="pct"/>
            <w:vAlign w:val="center"/>
          </w:tcPr>
          <w:p w14:paraId="5C84F209" w14:textId="77777777" w:rsidR="001B4719" w:rsidRPr="00284B99" w:rsidRDefault="001B4719" w:rsidP="00C161E8">
            <w:pPr>
              <w:spacing w:before="60" w:after="60"/>
              <w:jc w:val="center"/>
            </w:pPr>
            <w:r>
              <w:t>16 000</w:t>
            </w:r>
          </w:p>
        </w:tc>
        <w:tc>
          <w:tcPr>
            <w:tcW w:w="1066" w:type="pct"/>
            <w:vAlign w:val="center"/>
          </w:tcPr>
          <w:p w14:paraId="73461AA2" w14:textId="77777777" w:rsidR="001B4719" w:rsidRPr="00284B99" w:rsidRDefault="001B4719" w:rsidP="00C161E8">
            <w:pPr>
              <w:spacing w:before="60" w:after="60"/>
              <w:jc w:val="center"/>
            </w:pPr>
            <w:r w:rsidRPr="00284B99">
              <w:t>2,17</w:t>
            </w:r>
            <w:r w:rsidR="00B20629">
              <w:t xml:space="preserve"> </w:t>
            </w:r>
            <w:r w:rsidRPr="00284B99">
              <w:t>%</w:t>
            </w:r>
          </w:p>
        </w:tc>
        <w:tc>
          <w:tcPr>
            <w:tcW w:w="1066" w:type="pct"/>
            <w:vAlign w:val="center"/>
          </w:tcPr>
          <w:p w14:paraId="6378B11C" w14:textId="77777777" w:rsidR="001B4719" w:rsidRPr="00284B99" w:rsidRDefault="001B4719" w:rsidP="00C161E8">
            <w:pPr>
              <w:spacing w:before="60" w:after="60"/>
              <w:jc w:val="center"/>
            </w:pPr>
            <w:r>
              <w:t>200</w:t>
            </w:r>
          </w:p>
        </w:tc>
      </w:tr>
    </w:tbl>
    <w:p w14:paraId="3E8A3654" w14:textId="77777777" w:rsidR="00EF3C02" w:rsidRPr="00EF3C02" w:rsidRDefault="001B4719" w:rsidP="00EF3C02">
      <w:pPr>
        <w:jc w:val="both"/>
        <w:rPr>
          <w:i/>
        </w:rPr>
      </w:pPr>
      <w:r>
        <w:rPr>
          <w:i/>
        </w:rPr>
        <w:t>Zdroj: Euroenergy, 2018</w:t>
      </w:r>
    </w:p>
    <w:p w14:paraId="5752FD45" w14:textId="77777777" w:rsidR="00EF3C02" w:rsidRDefault="00EF3C02" w:rsidP="00EF3C02">
      <w:pPr>
        <w:pStyle w:val="Titulek"/>
        <w:keepNext/>
      </w:pPr>
      <w:bookmarkStart w:id="201" w:name="_Toc34295863"/>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4</w:t>
      </w:r>
      <w:r w:rsidR="001614BC">
        <w:rPr>
          <w:noProof/>
        </w:rPr>
        <w:fldChar w:fldCharType="end"/>
      </w:r>
      <w:r w:rsidRPr="00EF3C02">
        <w:t xml:space="preserve"> </w:t>
      </w:r>
      <w:r w:rsidRPr="00EE7913">
        <w:t xml:space="preserve">Projekce počtu vozidel - </w:t>
      </w:r>
      <w:r>
        <w:t>vysoký</w:t>
      </w:r>
      <w:r w:rsidRPr="00EE7913">
        <w:t xml:space="preserve"> scénář</w:t>
      </w:r>
      <w:bookmarkEnd w:id="201"/>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65"/>
        <w:gridCol w:w="2048"/>
        <w:gridCol w:w="2048"/>
        <w:gridCol w:w="2047"/>
      </w:tblGrid>
      <w:tr w:rsidR="001B4719" w:rsidRPr="00882C9E" w14:paraId="15917C96" w14:textId="77777777" w:rsidTr="00C161E8">
        <w:trPr>
          <w:trHeight w:val="455"/>
          <w:tblHeader/>
        </w:trPr>
        <w:tc>
          <w:tcPr>
            <w:tcW w:w="1803" w:type="pct"/>
            <w:shd w:val="clear" w:color="auto" w:fill="548DD4"/>
          </w:tcPr>
          <w:p w14:paraId="25CB2838" w14:textId="77777777" w:rsidR="001B4719" w:rsidRPr="009D7F5B" w:rsidRDefault="001B4719" w:rsidP="000050AA">
            <w:pPr>
              <w:spacing w:before="60" w:after="60"/>
              <w:jc w:val="both"/>
              <w:rPr>
                <w:b/>
                <w:color w:val="FFFFFF" w:themeColor="background1"/>
              </w:rPr>
            </w:pPr>
            <w:r w:rsidRPr="009D7F5B">
              <w:rPr>
                <w:b/>
                <w:color w:val="FFFFFF" w:themeColor="background1"/>
              </w:rPr>
              <w:t>Kategorie vozidel</w:t>
            </w:r>
          </w:p>
        </w:tc>
        <w:tc>
          <w:tcPr>
            <w:tcW w:w="1066" w:type="pct"/>
            <w:shd w:val="clear" w:color="auto" w:fill="548DD4"/>
            <w:vAlign w:val="center"/>
          </w:tcPr>
          <w:p w14:paraId="7DD2B240" w14:textId="77777777" w:rsidR="001B4719" w:rsidRPr="009D7F5B" w:rsidRDefault="001B4719" w:rsidP="000050AA">
            <w:pPr>
              <w:spacing w:before="60" w:after="60"/>
              <w:jc w:val="both"/>
              <w:rPr>
                <w:b/>
                <w:color w:val="FFFFFF" w:themeColor="background1"/>
              </w:rPr>
            </w:pPr>
            <w:r w:rsidRPr="009D7F5B">
              <w:rPr>
                <w:b/>
                <w:color w:val="FFFFFF" w:themeColor="background1"/>
              </w:rPr>
              <w:t>Počet vozidel</w:t>
            </w:r>
          </w:p>
        </w:tc>
        <w:tc>
          <w:tcPr>
            <w:tcW w:w="1066" w:type="pct"/>
            <w:shd w:val="clear" w:color="auto" w:fill="548DD4"/>
            <w:vAlign w:val="center"/>
          </w:tcPr>
          <w:p w14:paraId="170D2D26" w14:textId="77777777" w:rsidR="001B4719" w:rsidRPr="009D7F5B" w:rsidRDefault="001B4719" w:rsidP="000050AA">
            <w:pPr>
              <w:spacing w:before="60" w:after="60"/>
              <w:jc w:val="both"/>
              <w:rPr>
                <w:b/>
                <w:color w:val="FFFFFF" w:themeColor="background1"/>
              </w:rPr>
            </w:pPr>
            <w:r w:rsidRPr="009D7F5B">
              <w:rPr>
                <w:b/>
                <w:color w:val="FFFFFF" w:themeColor="background1"/>
              </w:rPr>
              <w:t>Podíl na celku</w:t>
            </w:r>
          </w:p>
        </w:tc>
        <w:tc>
          <w:tcPr>
            <w:tcW w:w="1066" w:type="pct"/>
            <w:shd w:val="clear" w:color="auto" w:fill="548DD4"/>
            <w:vAlign w:val="center"/>
          </w:tcPr>
          <w:p w14:paraId="6F89D3DB" w14:textId="77777777" w:rsidR="001B4719" w:rsidRPr="009D7F5B" w:rsidRDefault="001B4719" w:rsidP="00546698">
            <w:pPr>
              <w:spacing w:before="60" w:after="60"/>
              <w:jc w:val="both"/>
              <w:rPr>
                <w:b/>
                <w:color w:val="FFFFFF" w:themeColor="background1"/>
              </w:rPr>
            </w:pPr>
            <w:r w:rsidRPr="009D7F5B">
              <w:rPr>
                <w:b/>
                <w:color w:val="FFFFFF" w:themeColor="background1"/>
              </w:rPr>
              <w:t>Spotřeba v</w:t>
            </w:r>
            <w:r w:rsidR="00546698">
              <w:rPr>
                <w:b/>
                <w:color w:val="FFFFFF" w:themeColor="background1"/>
              </w:rPr>
              <w:t> </w:t>
            </w:r>
            <w:r w:rsidRPr="009D7F5B">
              <w:rPr>
                <w:b/>
                <w:color w:val="FFFFFF" w:themeColor="background1"/>
              </w:rPr>
              <w:t>GWh</w:t>
            </w:r>
          </w:p>
        </w:tc>
      </w:tr>
      <w:tr w:rsidR="001B4719" w:rsidRPr="00882C9E" w14:paraId="3AE2F880" w14:textId="77777777" w:rsidTr="00EF3C02">
        <w:tc>
          <w:tcPr>
            <w:tcW w:w="1803" w:type="pct"/>
            <w:vAlign w:val="center"/>
          </w:tcPr>
          <w:p w14:paraId="09653C12" w14:textId="77777777" w:rsidR="001B4719" w:rsidRPr="00284B99" w:rsidRDefault="001B4719" w:rsidP="000050AA">
            <w:pPr>
              <w:spacing w:before="60" w:after="60"/>
              <w:jc w:val="both"/>
            </w:pPr>
            <w:r w:rsidRPr="00284B99">
              <w:t>Osobní vozy (kat. M1)</w:t>
            </w:r>
          </w:p>
        </w:tc>
        <w:tc>
          <w:tcPr>
            <w:tcW w:w="1066" w:type="pct"/>
            <w:vAlign w:val="center"/>
          </w:tcPr>
          <w:p w14:paraId="0BBE2D26" w14:textId="77777777" w:rsidR="001B4719" w:rsidRPr="00284B99" w:rsidRDefault="001B4719" w:rsidP="00C161E8">
            <w:pPr>
              <w:spacing w:before="60" w:after="60"/>
              <w:jc w:val="center"/>
            </w:pPr>
            <w:r>
              <w:t>800 000</w:t>
            </w:r>
          </w:p>
        </w:tc>
        <w:tc>
          <w:tcPr>
            <w:tcW w:w="1066" w:type="pct"/>
            <w:vAlign w:val="center"/>
          </w:tcPr>
          <w:p w14:paraId="19D6BD89" w14:textId="77777777" w:rsidR="001B4719" w:rsidRPr="00284B99" w:rsidRDefault="001B4719" w:rsidP="00C161E8">
            <w:pPr>
              <w:spacing w:before="60" w:after="60"/>
              <w:jc w:val="center"/>
            </w:pPr>
            <w:r w:rsidRPr="00284B99">
              <w:t>14,04</w:t>
            </w:r>
            <w:r w:rsidR="00B20629">
              <w:t xml:space="preserve"> </w:t>
            </w:r>
            <w:r w:rsidRPr="00284B99">
              <w:t>%</w:t>
            </w:r>
          </w:p>
        </w:tc>
        <w:tc>
          <w:tcPr>
            <w:tcW w:w="1066" w:type="pct"/>
            <w:vAlign w:val="center"/>
          </w:tcPr>
          <w:p w14:paraId="5E31E31F" w14:textId="77777777" w:rsidR="001B4719" w:rsidRPr="00284B99" w:rsidRDefault="001B4719" w:rsidP="00C161E8">
            <w:pPr>
              <w:spacing w:before="60" w:after="60"/>
              <w:jc w:val="center"/>
            </w:pPr>
            <w:r>
              <w:t>1 100</w:t>
            </w:r>
          </w:p>
        </w:tc>
      </w:tr>
      <w:tr w:rsidR="001B4719" w:rsidRPr="00882C9E" w14:paraId="7AA94014" w14:textId="77777777" w:rsidTr="00EF3C02">
        <w:tc>
          <w:tcPr>
            <w:tcW w:w="1803" w:type="pct"/>
            <w:vAlign w:val="center"/>
          </w:tcPr>
          <w:p w14:paraId="306410FB" w14:textId="77777777" w:rsidR="001B4719" w:rsidRPr="00284B99" w:rsidRDefault="001B4719" w:rsidP="000050AA">
            <w:pPr>
              <w:spacing w:before="60" w:after="60"/>
              <w:jc w:val="both"/>
            </w:pPr>
            <w:r w:rsidRPr="00284B99">
              <w:t>Autobusy (kat. M2, M3)</w:t>
            </w:r>
          </w:p>
        </w:tc>
        <w:tc>
          <w:tcPr>
            <w:tcW w:w="1066" w:type="pct"/>
            <w:vAlign w:val="center"/>
          </w:tcPr>
          <w:p w14:paraId="09EC35CB" w14:textId="77777777" w:rsidR="001B4719" w:rsidRPr="00284B99" w:rsidRDefault="001B4719" w:rsidP="00C161E8">
            <w:pPr>
              <w:spacing w:before="60" w:after="60"/>
              <w:jc w:val="center"/>
            </w:pPr>
            <w:r>
              <w:t>1 000</w:t>
            </w:r>
          </w:p>
        </w:tc>
        <w:tc>
          <w:tcPr>
            <w:tcW w:w="1066" w:type="pct"/>
            <w:vAlign w:val="center"/>
          </w:tcPr>
          <w:p w14:paraId="45D86099" w14:textId="77777777" w:rsidR="001B4719" w:rsidRPr="00284B99" w:rsidRDefault="001B4719" w:rsidP="00C161E8">
            <w:pPr>
              <w:spacing w:before="60" w:after="60"/>
              <w:jc w:val="center"/>
            </w:pPr>
            <w:r w:rsidRPr="00284B99">
              <w:t>4,56</w:t>
            </w:r>
            <w:r w:rsidR="00B20629">
              <w:t xml:space="preserve"> </w:t>
            </w:r>
            <w:r w:rsidRPr="00284B99">
              <w:t>%</w:t>
            </w:r>
          </w:p>
        </w:tc>
        <w:tc>
          <w:tcPr>
            <w:tcW w:w="1066" w:type="pct"/>
            <w:vAlign w:val="center"/>
          </w:tcPr>
          <w:p w14:paraId="18FE9BBC" w14:textId="77777777" w:rsidR="001B4719" w:rsidRPr="00284B99" w:rsidRDefault="001B4719" w:rsidP="00C161E8">
            <w:pPr>
              <w:spacing w:before="60" w:after="60"/>
              <w:jc w:val="center"/>
            </w:pPr>
            <w:r>
              <w:t>90</w:t>
            </w:r>
          </w:p>
        </w:tc>
      </w:tr>
      <w:tr w:rsidR="001B4719" w:rsidRPr="00882C9E" w14:paraId="127C59E7" w14:textId="77777777" w:rsidTr="00EF3C02">
        <w:tc>
          <w:tcPr>
            <w:tcW w:w="1803" w:type="pct"/>
            <w:vAlign w:val="center"/>
          </w:tcPr>
          <w:p w14:paraId="4A0C35BA" w14:textId="77777777" w:rsidR="001B4719" w:rsidRPr="00284B99" w:rsidRDefault="001B4719" w:rsidP="000050AA">
            <w:pPr>
              <w:spacing w:before="60" w:after="60"/>
              <w:jc w:val="both"/>
            </w:pPr>
            <w:r w:rsidRPr="00284B99">
              <w:t>Užitkové vozy (kat. N1, N2, N3)</w:t>
            </w:r>
          </w:p>
        </w:tc>
        <w:tc>
          <w:tcPr>
            <w:tcW w:w="1066" w:type="pct"/>
            <w:vAlign w:val="center"/>
          </w:tcPr>
          <w:p w14:paraId="51760127" w14:textId="77777777" w:rsidR="001B4719" w:rsidRPr="00284B99" w:rsidRDefault="001B4719" w:rsidP="00C161E8">
            <w:pPr>
              <w:spacing w:before="60" w:after="60"/>
              <w:jc w:val="center"/>
            </w:pPr>
            <w:r>
              <w:t>45 000</w:t>
            </w:r>
          </w:p>
        </w:tc>
        <w:tc>
          <w:tcPr>
            <w:tcW w:w="1066" w:type="pct"/>
            <w:vAlign w:val="center"/>
          </w:tcPr>
          <w:p w14:paraId="3717142E" w14:textId="77777777" w:rsidR="001B4719" w:rsidRPr="00284B99" w:rsidRDefault="001B4719" w:rsidP="00C161E8">
            <w:pPr>
              <w:spacing w:before="60" w:after="60"/>
              <w:jc w:val="center"/>
            </w:pPr>
            <w:r w:rsidRPr="00284B99">
              <w:t>5,94</w:t>
            </w:r>
            <w:r w:rsidR="00B20629">
              <w:t xml:space="preserve"> </w:t>
            </w:r>
            <w:r w:rsidRPr="00284B99">
              <w:t>%</w:t>
            </w:r>
          </w:p>
        </w:tc>
        <w:tc>
          <w:tcPr>
            <w:tcW w:w="1066" w:type="pct"/>
            <w:vAlign w:val="center"/>
          </w:tcPr>
          <w:p w14:paraId="0B6DE87A" w14:textId="77777777" w:rsidR="001B4719" w:rsidRPr="00284B99" w:rsidRDefault="001B4719" w:rsidP="00C161E8">
            <w:pPr>
              <w:spacing w:before="60" w:after="60"/>
              <w:jc w:val="center"/>
            </w:pPr>
            <w:r>
              <w:t>600</w:t>
            </w:r>
          </w:p>
        </w:tc>
      </w:tr>
    </w:tbl>
    <w:p w14:paraId="4791B4A1" w14:textId="77777777" w:rsidR="001B4719" w:rsidRDefault="001B4719" w:rsidP="001B4719">
      <w:pPr>
        <w:jc w:val="both"/>
        <w:rPr>
          <w:i/>
        </w:rPr>
      </w:pPr>
      <w:r>
        <w:rPr>
          <w:i/>
        </w:rPr>
        <w:t>Zdroj: Euroenergy, 2018</w:t>
      </w:r>
    </w:p>
    <w:p w14:paraId="3BCB69CB" w14:textId="77777777" w:rsidR="001B4719" w:rsidRDefault="001B4719" w:rsidP="00EF3C02">
      <w:pPr>
        <w:jc w:val="both"/>
      </w:pPr>
      <w:r>
        <w:t>Celkové počty elektrovozidel typů BEV i</w:t>
      </w:r>
      <w:r w:rsidR="00546698">
        <w:t> </w:t>
      </w:r>
      <w:r>
        <w:t xml:space="preserve">PHEV lze na základě studie </w:t>
      </w:r>
      <w:r w:rsidRPr="00484362">
        <w:t>„Dílčí studie pro pracovní tým A25 - Predikce vývoje elektromobility v</w:t>
      </w:r>
      <w:r w:rsidR="00546698">
        <w:t> </w:t>
      </w:r>
      <w:r w:rsidRPr="00484362">
        <w:t>ČR“</w:t>
      </w:r>
      <w:r>
        <w:t xml:space="preserve"> očekávat v</w:t>
      </w:r>
      <w:r w:rsidR="00546698">
        <w:t> </w:t>
      </w:r>
      <w:r>
        <w:t>následujících scénářích a</w:t>
      </w:r>
      <w:r w:rsidR="00546698">
        <w:t> </w:t>
      </w:r>
      <w:r>
        <w:t>časových řezech takto:</w:t>
      </w:r>
    </w:p>
    <w:p w14:paraId="05A65A68" w14:textId="77777777" w:rsidR="00EF3C02" w:rsidRDefault="00EF3C02" w:rsidP="00EF3C02">
      <w:pPr>
        <w:pStyle w:val="Titulek"/>
        <w:keepNext/>
      </w:pPr>
      <w:bookmarkStart w:id="202" w:name="_Toc34295864"/>
      <w:r>
        <w:lastRenderedPageBreak/>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5</w:t>
      </w:r>
      <w:r w:rsidR="001614BC">
        <w:rPr>
          <w:noProof/>
        </w:rPr>
        <w:fldChar w:fldCharType="end"/>
      </w:r>
      <w:r w:rsidRPr="00EF3C02">
        <w:t xml:space="preserve"> </w:t>
      </w:r>
      <w:r>
        <w:t>Očekávaný celkový počet elektrovozidel typu BEV a</w:t>
      </w:r>
      <w:r w:rsidR="00546698">
        <w:t> </w:t>
      </w:r>
      <w:r>
        <w:t>PHEV</w:t>
      </w:r>
      <w:bookmarkEnd w:id="202"/>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65"/>
        <w:gridCol w:w="2048"/>
        <w:gridCol w:w="2048"/>
        <w:gridCol w:w="2047"/>
      </w:tblGrid>
      <w:tr w:rsidR="001B4719" w:rsidRPr="00882C9E" w14:paraId="405E5615" w14:textId="77777777" w:rsidTr="00EF3C02">
        <w:trPr>
          <w:tblHeader/>
        </w:trPr>
        <w:tc>
          <w:tcPr>
            <w:tcW w:w="1803" w:type="pct"/>
            <w:shd w:val="clear" w:color="auto" w:fill="548DD4"/>
          </w:tcPr>
          <w:p w14:paraId="59E6EA19" w14:textId="77777777" w:rsidR="001B4719" w:rsidRPr="006A460E" w:rsidRDefault="001B4719" w:rsidP="000050AA">
            <w:pPr>
              <w:keepNext/>
              <w:spacing w:before="60" w:after="60"/>
              <w:jc w:val="both"/>
              <w:rPr>
                <w:b/>
                <w:color w:val="FFFFFF" w:themeColor="background1"/>
              </w:rPr>
            </w:pPr>
            <w:r>
              <w:rPr>
                <w:b/>
                <w:color w:val="FFFFFF" w:themeColor="background1"/>
              </w:rPr>
              <w:t>Scénář / časový řez</w:t>
            </w:r>
          </w:p>
        </w:tc>
        <w:tc>
          <w:tcPr>
            <w:tcW w:w="1066" w:type="pct"/>
            <w:shd w:val="clear" w:color="auto" w:fill="548DD4"/>
            <w:vAlign w:val="center"/>
          </w:tcPr>
          <w:p w14:paraId="0AAFA245" w14:textId="77777777" w:rsidR="001B4719" w:rsidRPr="006A460E" w:rsidRDefault="001B4719" w:rsidP="00C161E8">
            <w:pPr>
              <w:keepNext/>
              <w:spacing w:before="60" w:after="60"/>
              <w:ind w:left="54"/>
              <w:jc w:val="center"/>
              <w:rPr>
                <w:b/>
                <w:color w:val="FFFFFF" w:themeColor="background1"/>
              </w:rPr>
            </w:pPr>
            <w:r w:rsidRPr="006A460E">
              <w:rPr>
                <w:b/>
                <w:color w:val="FFFFFF" w:themeColor="background1"/>
              </w:rPr>
              <w:t>2020</w:t>
            </w:r>
          </w:p>
        </w:tc>
        <w:tc>
          <w:tcPr>
            <w:tcW w:w="1066" w:type="pct"/>
            <w:shd w:val="clear" w:color="auto" w:fill="548DD4"/>
            <w:vAlign w:val="center"/>
          </w:tcPr>
          <w:p w14:paraId="0EF0D4BC" w14:textId="77777777" w:rsidR="001B4719" w:rsidRPr="006A460E" w:rsidRDefault="001B4719" w:rsidP="00C161E8">
            <w:pPr>
              <w:keepNext/>
              <w:spacing w:before="60" w:after="60"/>
              <w:jc w:val="center"/>
              <w:rPr>
                <w:b/>
                <w:color w:val="FFFFFF" w:themeColor="background1"/>
              </w:rPr>
            </w:pPr>
            <w:r w:rsidRPr="006A460E">
              <w:rPr>
                <w:b/>
                <w:color w:val="FFFFFF" w:themeColor="background1"/>
              </w:rPr>
              <w:t>2025</w:t>
            </w:r>
          </w:p>
        </w:tc>
        <w:tc>
          <w:tcPr>
            <w:tcW w:w="1066" w:type="pct"/>
            <w:shd w:val="clear" w:color="auto" w:fill="548DD4"/>
            <w:vAlign w:val="center"/>
          </w:tcPr>
          <w:p w14:paraId="481DF575" w14:textId="77777777" w:rsidR="001B4719" w:rsidRPr="006A460E" w:rsidRDefault="001B4719" w:rsidP="00C161E8">
            <w:pPr>
              <w:keepNext/>
              <w:spacing w:before="60" w:after="60"/>
              <w:jc w:val="center"/>
              <w:rPr>
                <w:b/>
                <w:color w:val="FFFFFF" w:themeColor="background1"/>
              </w:rPr>
            </w:pPr>
            <w:r w:rsidRPr="006A460E">
              <w:rPr>
                <w:b/>
                <w:color w:val="FFFFFF" w:themeColor="background1"/>
              </w:rPr>
              <w:t>2030</w:t>
            </w:r>
          </w:p>
        </w:tc>
      </w:tr>
      <w:tr w:rsidR="001B4719" w:rsidRPr="00882C9E" w14:paraId="14CE4B09" w14:textId="77777777" w:rsidTr="00EF3C02">
        <w:tc>
          <w:tcPr>
            <w:tcW w:w="1803" w:type="pct"/>
            <w:vAlign w:val="center"/>
          </w:tcPr>
          <w:p w14:paraId="7E192F87" w14:textId="77777777" w:rsidR="001B4719" w:rsidRPr="00284B99" w:rsidRDefault="001B4719" w:rsidP="000050AA">
            <w:pPr>
              <w:keepNext/>
              <w:spacing w:before="60" w:after="60"/>
              <w:jc w:val="both"/>
            </w:pPr>
            <w:r>
              <w:t>Nízký</w:t>
            </w:r>
          </w:p>
        </w:tc>
        <w:tc>
          <w:tcPr>
            <w:tcW w:w="1066" w:type="pct"/>
            <w:vAlign w:val="center"/>
          </w:tcPr>
          <w:p w14:paraId="27414E52" w14:textId="77777777" w:rsidR="001B4719" w:rsidRPr="00284B99" w:rsidRDefault="001B4719" w:rsidP="00C161E8">
            <w:pPr>
              <w:keepNext/>
              <w:spacing w:before="60" w:after="60"/>
              <w:ind w:left="54"/>
              <w:jc w:val="center"/>
            </w:pPr>
            <w:r>
              <w:t>4 000</w:t>
            </w:r>
          </w:p>
        </w:tc>
        <w:tc>
          <w:tcPr>
            <w:tcW w:w="1066" w:type="pct"/>
            <w:vAlign w:val="center"/>
          </w:tcPr>
          <w:p w14:paraId="0F66786F" w14:textId="77777777" w:rsidR="001B4719" w:rsidRPr="00284B99" w:rsidRDefault="001B4719" w:rsidP="00C161E8">
            <w:pPr>
              <w:keepNext/>
              <w:spacing w:before="60" w:after="60"/>
              <w:jc w:val="center"/>
            </w:pPr>
            <w:r>
              <w:t>11 000</w:t>
            </w:r>
          </w:p>
        </w:tc>
        <w:tc>
          <w:tcPr>
            <w:tcW w:w="1066" w:type="pct"/>
            <w:vAlign w:val="center"/>
          </w:tcPr>
          <w:p w14:paraId="6926E93A" w14:textId="77777777" w:rsidR="001B4719" w:rsidRPr="00284B99" w:rsidRDefault="001B4719" w:rsidP="00C161E8">
            <w:pPr>
              <w:keepNext/>
              <w:spacing w:before="60" w:after="60"/>
              <w:jc w:val="center"/>
            </w:pPr>
            <w:r>
              <w:t>74 000</w:t>
            </w:r>
          </w:p>
        </w:tc>
      </w:tr>
      <w:tr w:rsidR="001B4719" w:rsidRPr="00882C9E" w14:paraId="256607D8" w14:textId="77777777" w:rsidTr="00EF3C02">
        <w:tc>
          <w:tcPr>
            <w:tcW w:w="1803" w:type="pct"/>
            <w:vAlign w:val="center"/>
          </w:tcPr>
          <w:p w14:paraId="49216080" w14:textId="77777777" w:rsidR="001B4719" w:rsidRPr="00284B99" w:rsidRDefault="001B4719" w:rsidP="000050AA">
            <w:pPr>
              <w:keepNext/>
              <w:spacing w:before="60" w:after="60"/>
              <w:jc w:val="both"/>
            </w:pPr>
            <w:r>
              <w:t>Střední</w:t>
            </w:r>
          </w:p>
        </w:tc>
        <w:tc>
          <w:tcPr>
            <w:tcW w:w="1066" w:type="pct"/>
            <w:vAlign w:val="center"/>
          </w:tcPr>
          <w:p w14:paraId="207FEC3D" w14:textId="77777777" w:rsidR="001B4719" w:rsidRPr="00284B99" w:rsidRDefault="001B4719" w:rsidP="00C161E8">
            <w:pPr>
              <w:keepNext/>
              <w:spacing w:before="60" w:after="60"/>
              <w:ind w:left="54"/>
              <w:jc w:val="center"/>
            </w:pPr>
            <w:r>
              <w:t>9 000</w:t>
            </w:r>
          </w:p>
        </w:tc>
        <w:tc>
          <w:tcPr>
            <w:tcW w:w="1066" w:type="pct"/>
            <w:vAlign w:val="center"/>
          </w:tcPr>
          <w:p w14:paraId="66969C8D" w14:textId="77777777" w:rsidR="001B4719" w:rsidRPr="00284B99" w:rsidRDefault="001B4719" w:rsidP="00C161E8">
            <w:pPr>
              <w:keepNext/>
              <w:spacing w:before="60" w:after="60"/>
              <w:jc w:val="center"/>
            </w:pPr>
            <w:r>
              <w:t>71 000</w:t>
            </w:r>
          </w:p>
        </w:tc>
        <w:tc>
          <w:tcPr>
            <w:tcW w:w="1066" w:type="pct"/>
            <w:vAlign w:val="center"/>
          </w:tcPr>
          <w:p w14:paraId="3B00B67F" w14:textId="77777777" w:rsidR="001B4719" w:rsidRPr="00284B99" w:rsidRDefault="001B4719" w:rsidP="00C161E8">
            <w:pPr>
              <w:keepNext/>
              <w:spacing w:before="60" w:after="60"/>
              <w:jc w:val="center"/>
            </w:pPr>
            <w:r>
              <w:t>200 000</w:t>
            </w:r>
          </w:p>
        </w:tc>
      </w:tr>
      <w:tr w:rsidR="001B4719" w:rsidRPr="00882C9E" w14:paraId="0CA2F8A1" w14:textId="77777777" w:rsidTr="00EF3C02">
        <w:tc>
          <w:tcPr>
            <w:tcW w:w="1803" w:type="pct"/>
            <w:vAlign w:val="center"/>
          </w:tcPr>
          <w:p w14:paraId="5647BDE9" w14:textId="77777777" w:rsidR="001B4719" w:rsidRPr="00284B99" w:rsidRDefault="001B4719" w:rsidP="000050AA">
            <w:pPr>
              <w:keepNext/>
              <w:spacing w:before="60" w:after="60"/>
              <w:jc w:val="both"/>
            </w:pPr>
            <w:r>
              <w:t>Vysoký</w:t>
            </w:r>
          </w:p>
        </w:tc>
        <w:tc>
          <w:tcPr>
            <w:tcW w:w="1066" w:type="pct"/>
            <w:vAlign w:val="center"/>
          </w:tcPr>
          <w:p w14:paraId="194D88AF" w14:textId="77777777" w:rsidR="001B4719" w:rsidRPr="00284B99" w:rsidRDefault="001B4719" w:rsidP="00C161E8">
            <w:pPr>
              <w:keepNext/>
              <w:spacing w:before="60" w:after="60"/>
              <w:ind w:left="54"/>
              <w:jc w:val="center"/>
            </w:pPr>
            <w:r>
              <w:t>24 000</w:t>
            </w:r>
          </w:p>
        </w:tc>
        <w:tc>
          <w:tcPr>
            <w:tcW w:w="1066" w:type="pct"/>
            <w:vAlign w:val="center"/>
          </w:tcPr>
          <w:p w14:paraId="4E8170C6" w14:textId="77777777" w:rsidR="001B4719" w:rsidRPr="00284B99" w:rsidRDefault="001B4719" w:rsidP="00C161E8">
            <w:pPr>
              <w:keepNext/>
              <w:spacing w:before="60" w:after="60"/>
              <w:jc w:val="center"/>
            </w:pPr>
            <w:r>
              <w:t>233 000</w:t>
            </w:r>
          </w:p>
        </w:tc>
        <w:tc>
          <w:tcPr>
            <w:tcW w:w="1066" w:type="pct"/>
            <w:vAlign w:val="center"/>
          </w:tcPr>
          <w:p w14:paraId="56D0358B" w14:textId="77777777" w:rsidR="001B4719" w:rsidRPr="00284B99" w:rsidRDefault="001B4719" w:rsidP="00C161E8">
            <w:pPr>
              <w:keepNext/>
              <w:spacing w:before="60" w:after="60"/>
              <w:jc w:val="center"/>
            </w:pPr>
            <w:r>
              <w:t>800 000</w:t>
            </w:r>
          </w:p>
        </w:tc>
      </w:tr>
    </w:tbl>
    <w:p w14:paraId="6328F7E0" w14:textId="77777777" w:rsidR="001B4719" w:rsidRDefault="001B4719" w:rsidP="001B4719">
      <w:pPr>
        <w:jc w:val="both"/>
        <w:rPr>
          <w:i/>
        </w:rPr>
      </w:pPr>
      <w:r>
        <w:rPr>
          <w:i/>
        </w:rPr>
        <w:t>Zdroj: Euroenergy, 2018</w:t>
      </w:r>
    </w:p>
    <w:p w14:paraId="35BA3FD7" w14:textId="77777777" w:rsidR="001B4719" w:rsidRPr="00255A20" w:rsidRDefault="001B4719" w:rsidP="001B4719">
      <w:pPr>
        <w:jc w:val="both"/>
        <w:rPr>
          <w:b/>
        </w:rPr>
      </w:pPr>
      <w:r w:rsidRPr="00255A20">
        <w:rPr>
          <w:b/>
        </w:rPr>
        <w:t>Predikce Sdružení dovozců automobilů (SDA)</w:t>
      </w:r>
    </w:p>
    <w:p w14:paraId="452FF16C" w14:textId="77777777" w:rsidR="00EF3C02" w:rsidRPr="00EF3C02" w:rsidRDefault="001B4719" w:rsidP="00EF3C02">
      <w:pPr>
        <w:jc w:val="both"/>
      </w:pPr>
      <w:r w:rsidRPr="007D4D7B">
        <w:t>Za alternativní predikci</w:t>
      </w:r>
      <w:r>
        <w:t xml:space="preserve"> počtu EV</w:t>
      </w:r>
      <w:r w:rsidRPr="007D4D7B">
        <w:t xml:space="preserve"> lze považovat predikci SDA (Sdružení dovozců automobilů) z</w:t>
      </w:r>
      <w:r w:rsidR="00546698">
        <w:t> </w:t>
      </w:r>
      <w:r w:rsidRPr="007D4D7B">
        <w:t>roku 2018:</w:t>
      </w:r>
    </w:p>
    <w:p w14:paraId="5B4D9FAA" w14:textId="77777777" w:rsidR="00EF3C02" w:rsidRDefault="00EF3C02" w:rsidP="00EF3C02">
      <w:pPr>
        <w:pStyle w:val="Titulek"/>
        <w:keepNext/>
      </w:pPr>
      <w:bookmarkStart w:id="203" w:name="_Toc34295865"/>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6</w:t>
      </w:r>
      <w:r w:rsidR="001614BC">
        <w:rPr>
          <w:noProof/>
        </w:rPr>
        <w:fldChar w:fldCharType="end"/>
      </w:r>
      <w:r w:rsidRPr="00EF3C02">
        <w:t xml:space="preserve"> </w:t>
      </w:r>
      <w:r>
        <w:t>Predikce počtu EV dle SDA</w:t>
      </w:r>
      <w:bookmarkEnd w:id="203"/>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65"/>
        <w:gridCol w:w="2048"/>
        <w:gridCol w:w="2048"/>
        <w:gridCol w:w="2047"/>
      </w:tblGrid>
      <w:tr w:rsidR="001B4719" w:rsidRPr="00284B99" w14:paraId="65714CB1" w14:textId="77777777" w:rsidTr="00EF3C02">
        <w:trPr>
          <w:tblHeader/>
        </w:trPr>
        <w:tc>
          <w:tcPr>
            <w:tcW w:w="1803" w:type="pct"/>
            <w:shd w:val="clear" w:color="auto" w:fill="548DD4"/>
          </w:tcPr>
          <w:p w14:paraId="4BF31805" w14:textId="77777777" w:rsidR="001B4719" w:rsidRPr="006A460E" w:rsidRDefault="001B4719" w:rsidP="000050AA">
            <w:pPr>
              <w:spacing w:before="60" w:after="60"/>
              <w:jc w:val="both"/>
              <w:rPr>
                <w:b/>
                <w:color w:val="FFFFFF" w:themeColor="background1"/>
              </w:rPr>
            </w:pPr>
            <w:r w:rsidRPr="006A460E">
              <w:rPr>
                <w:b/>
                <w:color w:val="FFFFFF" w:themeColor="background1"/>
              </w:rPr>
              <w:t>Rok</w:t>
            </w:r>
          </w:p>
        </w:tc>
        <w:tc>
          <w:tcPr>
            <w:tcW w:w="1066" w:type="pct"/>
            <w:shd w:val="clear" w:color="auto" w:fill="548DD4"/>
          </w:tcPr>
          <w:p w14:paraId="47ED5ACC" w14:textId="77777777" w:rsidR="001B4719" w:rsidRPr="006A460E" w:rsidRDefault="001B4719" w:rsidP="00C161E8">
            <w:pPr>
              <w:spacing w:before="60" w:after="60"/>
              <w:ind w:left="-1"/>
              <w:jc w:val="center"/>
              <w:rPr>
                <w:b/>
                <w:color w:val="FFFFFF" w:themeColor="background1"/>
              </w:rPr>
            </w:pPr>
            <w:r w:rsidRPr="006A460E">
              <w:rPr>
                <w:b/>
                <w:color w:val="FFFFFF" w:themeColor="background1"/>
              </w:rPr>
              <w:t>2020</w:t>
            </w:r>
          </w:p>
        </w:tc>
        <w:tc>
          <w:tcPr>
            <w:tcW w:w="1066" w:type="pct"/>
            <w:shd w:val="clear" w:color="auto" w:fill="548DD4"/>
          </w:tcPr>
          <w:p w14:paraId="77C11BEC" w14:textId="77777777" w:rsidR="001B4719" w:rsidRPr="006A460E" w:rsidRDefault="001B4719" w:rsidP="00C161E8">
            <w:pPr>
              <w:spacing w:before="60" w:after="60"/>
              <w:ind w:left="33"/>
              <w:jc w:val="center"/>
              <w:rPr>
                <w:b/>
                <w:color w:val="FFFFFF" w:themeColor="background1"/>
              </w:rPr>
            </w:pPr>
            <w:r w:rsidRPr="006A460E">
              <w:rPr>
                <w:b/>
                <w:color w:val="FFFFFF" w:themeColor="background1"/>
              </w:rPr>
              <w:t>2025</w:t>
            </w:r>
          </w:p>
        </w:tc>
        <w:tc>
          <w:tcPr>
            <w:tcW w:w="1066" w:type="pct"/>
            <w:shd w:val="clear" w:color="auto" w:fill="548DD4"/>
          </w:tcPr>
          <w:p w14:paraId="46592871" w14:textId="77777777" w:rsidR="001B4719" w:rsidRPr="006A460E" w:rsidRDefault="001B4719" w:rsidP="00C161E8">
            <w:pPr>
              <w:spacing w:before="60" w:after="60"/>
              <w:ind w:left="33"/>
              <w:jc w:val="center"/>
              <w:rPr>
                <w:b/>
                <w:color w:val="FFFFFF" w:themeColor="background1"/>
              </w:rPr>
            </w:pPr>
            <w:r w:rsidRPr="006A460E">
              <w:rPr>
                <w:b/>
                <w:color w:val="FFFFFF" w:themeColor="background1"/>
              </w:rPr>
              <w:t>20</w:t>
            </w:r>
            <w:r>
              <w:rPr>
                <w:b/>
                <w:color w:val="FFFFFF" w:themeColor="background1"/>
              </w:rPr>
              <w:t>30</w:t>
            </w:r>
          </w:p>
        </w:tc>
      </w:tr>
      <w:tr w:rsidR="001B4719" w:rsidRPr="00284B99" w14:paraId="0744A567" w14:textId="77777777" w:rsidTr="00EF3C02">
        <w:tc>
          <w:tcPr>
            <w:tcW w:w="1803" w:type="pct"/>
          </w:tcPr>
          <w:p w14:paraId="469813BE" w14:textId="77777777" w:rsidR="001B4719" w:rsidRPr="00284B99" w:rsidRDefault="001B4719" w:rsidP="000050AA">
            <w:pPr>
              <w:spacing w:before="60" w:after="60"/>
              <w:jc w:val="both"/>
            </w:pPr>
            <w:r>
              <w:t>Počet</w:t>
            </w:r>
          </w:p>
        </w:tc>
        <w:tc>
          <w:tcPr>
            <w:tcW w:w="1066" w:type="pct"/>
          </w:tcPr>
          <w:p w14:paraId="533A3A03" w14:textId="77777777" w:rsidR="001B4719" w:rsidRPr="00284B99" w:rsidRDefault="001B4719" w:rsidP="00C161E8">
            <w:pPr>
              <w:spacing w:before="60" w:after="60"/>
              <w:ind w:left="-1"/>
              <w:jc w:val="center"/>
            </w:pPr>
            <w:r>
              <w:t>5 200</w:t>
            </w:r>
          </w:p>
        </w:tc>
        <w:tc>
          <w:tcPr>
            <w:tcW w:w="1066" w:type="pct"/>
          </w:tcPr>
          <w:p w14:paraId="7BD064B2" w14:textId="77777777" w:rsidR="001B4719" w:rsidRPr="00284B99" w:rsidRDefault="001B4719" w:rsidP="00C161E8">
            <w:pPr>
              <w:spacing w:before="60" w:after="60"/>
              <w:ind w:left="33"/>
              <w:jc w:val="center"/>
            </w:pPr>
            <w:r>
              <w:t>68 200</w:t>
            </w:r>
          </w:p>
        </w:tc>
        <w:tc>
          <w:tcPr>
            <w:tcW w:w="1066" w:type="pct"/>
          </w:tcPr>
          <w:p w14:paraId="04B3F82E" w14:textId="77777777" w:rsidR="001B4719" w:rsidRDefault="001B4719" w:rsidP="00C161E8">
            <w:pPr>
              <w:spacing w:before="60" w:after="60"/>
              <w:ind w:left="33"/>
              <w:jc w:val="center"/>
            </w:pPr>
            <w:r>
              <w:t>217 200</w:t>
            </w:r>
          </w:p>
        </w:tc>
      </w:tr>
    </w:tbl>
    <w:p w14:paraId="6F8A05BB" w14:textId="77777777" w:rsidR="001B4719" w:rsidRDefault="001B4719" w:rsidP="001B4719">
      <w:pPr>
        <w:jc w:val="both"/>
        <w:rPr>
          <w:i/>
        </w:rPr>
      </w:pPr>
      <w:r>
        <w:rPr>
          <w:i/>
        </w:rPr>
        <w:t>Zdroj: SDA</w:t>
      </w:r>
    </w:p>
    <w:p w14:paraId="1D0AC24F" w14:textId="77777777" w:rsidR="001B4719" w:rsidRDefault="001B4719" w:rsidP="001B4719">
      <w:pPr>
        <w:jc w:val="both"/>
      </w:pPr>
      <w:r w:rsidRPr="000C1A1C">
        <w:t>V případě osobních a</w:t>
      </w:r>
      <w:r w:rsidR="00546698">
        <w:t> </w:t>
      </w:r>
      <w:r w:rsidRPr="000C1A1C">
        <w:t>užitkový</w:t>
      </w:r>
      <w:r w:rsidR="00FF3453">
        <w:t>ch vozů platí, že hlavním tahoun</w:t>
      </w:r>
      <w:r w:rsidRPr="000C1A1C">
        <w:t>em růstu podílu elektromobilů je regulatorní rámec v</w:t>
      </w:r>
      <w:r w:rsidR="00546698">
        <w:t> </w:t>
      </w:r>
      <w:r w:rsidRPr="000C1A1C">
        <w:t>podobě cílů CO</w:t>
      </w:r>
      <w:r w:rsidRPr="00710625">
        <w:rPr>
          <w:vertAlign w:val="subscript"/>
        </w:rPr>
        <w:t>2</w:t>
      </w:r>
      <w:r w:rsidRPr="000C1A1C">
        <w:t xml:space="preserve"> pro automobilky</w:t>
      </w:r>
      <w:r>
        <w:t>.</w:t>
      </w:r>
      <w:r w:rsidRPr="000C1A1C">
        <w:t xml:space="preserve"> </w:t>
      </w:r>
      <w:r w:rsidRPr="00480855">
        <w:t>V</w:t>
      </w:r>
      <w:r w:rsidR="00546698">
        <w:t> </w:t>
      </w:r>
      <w:r w:rsidRPr="00480855">
        <w:t>jeho důsledku by mělo dojít k</w:t>
      </w:r>
      <w:r w:rsidR="00546698">
        <w:t> </w:t>
      </w:r>
      <w:r w:rsidRPr="000C1A1C">
        <w:t>rozšíření nabídky napříč segmenty i</w:t>
      </w:r>
      <w:r w:rsidR="00546698">
        <w:t> </w:t>
      </w:r>
      <w:r w:rsidRPr="000C1A1C">
        <w:t>značkami, zlepšování parametrů a</w:t>
      </w:r>
      <w:r w:rsidR="00546698">
        <w:t> </w:t>
      </w:r>
      <w:r w:rsidRPr="000C1A1C">
        <w:t xml:space="preserve">současně snižování ceny elektromobilů tak, aby se staly pro koncového zákazníka dostatečně atraktivní. </w:t>
      </w:r>
      <w:r w:rsidRPr="00480855">
        <w:t>Prodeje v</w:t>
      </w:r>
      <w:r w:rsidR="00546698">
        <w:t> </w:t>
      </w:r>
      <w:r w:rsidRPr="00480855">
        <w:t xml:space="preserve">následujících letech budou současně výrazně </w:t>
      </w:r>
      <w:r w:rsidRPr="000C1A1C">
        <w:t>ovlivněny pobídkami případně jinými stimulačními mechanismy. Automobilky totiž plní své emisní cíle jako celek, nikoliv na národní úrovni a</w:t>
      </w:r>
      <w:r w:rsidR="00546698">
        <w:t> </w:t>
      </w:r>
      <w:r w:rsidRPr="000C1A1C">
        <w:t>podíl prodaných elektromobilů nemusí kopírovat prodeje vozidel. I</w:t>
      </w:r>
      <w:r w:rsidR="00546698">
        <w:t> </w:t>
      </w:r>
      <w:r w:rsidRPr="000C1A1C">
        <w:t>proto je důležité, aby v</w:t>
      </w:r>
      <w:r w:rsidR="00546698">
        <w:t> </w:t>
      </w:r>
      <w:r w:rsidRPr="000C1A1C">
        <w:t>ČR vzniklo prostředí a</w:t>
      </w:r>
      <w:r w:rsidR="00546698">
        <w:t> </w:t>
      </w:r>
      <w:r w:rsidRPr="000C1A1C">
        <w:t>podmínky, které budou automobilky motivovat prodeje realizovat v</w:t>
      </w:r>
      <w:r w:rsidR="00546698">
        <w:t> </w:t>
      </w:r>
      <w:r w:rsidRPr="000C1A1C">
        <w:t>ČR a</w:t>
      </w:r>
      <w:r w:rsidR="00546698">
        <w:t> </w:t>
      </w:r>
      <w:r w:rsidRPr="000C1A1C">
        <w:t>ne v</w:t>
      </w:r>
      <w:r w:rsidR="00546698">
        <w:t> </w:t>
      </w:r>
      <w:r w:rsidRPr="000C1A1C">
        <w:t>jiných zemích.</w:t>
      </w:r>
    </w:p>
    <w:p w14:paraId="40CD0F6A" w14:textId="77777777" w:rsidR="001B4719" w:rsidRDefault="001B4719" w:rsidP="001B4719">
      <w:pPr>
        <w:jc w:val="both"/>
      </w:pPr>
      <w:r>
        <w:t>Co se týká prodejů vozidel, je třeba neopomenout i</w:t>
      </w:r>
      <w:r w:rsidR="00546698">
        <w:t> </w:t>
      </w:r>
      <w:r>
        <w:t>sekundární trh, tj. trh s</w:t>
      </w:r>
      <w:r w:rsidR="00546698">
        <w:t> </w:t>
      </w:r>
      <w:r>
        <w:t>ojetými vozidly, který může sehrát v</w:t>
      </w:r>
      <w:r w:rsidR="00546698">
        <w:t> </w:t>
      </w:r>
      <w:r>
        <w:t>rozvoji elektromobility podstatnou roli a</w:t>
      </w:r>
      <w:r w:rsidR="00546698">
        <w:t> </w:t>
      </w:r>
      <w:r>
        <w:t>to zejména v</w:t>
      </w:r>
      <w:r w:rsidR="00546698">
        <w:t> </w:t>
      </w:r>
      <w:r>
        <w:t>zemích s</w:t>
      </w:r>
      <w:r w:rsidR="00546698">
        <w:t> </w:t>
      </w:r>
      <w:r>
        <w:t>nižší kupní silou, jakou je ČR. Ojetá vozidla, která jsou v</w:t>
      </w:r>
      <w:r w:rsidR="00546698">
        <w:t> </w:t>
      </w:r>
      <w:r>
        <w:t>dobrém stavu, včetně dobré kondice akumulátoru, mohou představovat díky své ceně reálnou alternativu pro celou řadu potenciálních uchazečů, kteří by si jinak elektromobil nepořídili.</w:t>
      </w:r>
    </w:p>
    <w:p w14:paraId="15D530A0" w14:textId="77777777" w:rsidR="001B4719" w:rsidRPr="000C1A1C" w:rsidRDefault="001B4719" w:rsidP="001B4719">
      <w:pPr>
        <w:jc w:val="both"/>
      </w:pPr>
      <w:r>
        <w:t>Vzhledem k</w:t>
      </w:r>
      <w:r w:rsidR="00546698">
        <w:t> </w:t>
      </w:r>
      <w:r>
        <w:t>tomu, že pořizování nových vozidel lze očekávat zejména v</w:t>
      </w:r>
      <w:r w:rsidR="00546698">
        <w:t> </w:t>
      </w:r>
      <w:r>
        <w:t>segmentu firemních flotil, jejichž „obrátka“ je v</w:t>
      </w:r>
      <w:r w:rsidR="00546698">
        <w:t> </w:t>
      </w:r>
      <w:r>
        <w:t>průměru kolem 36 měsíců (typická délka operativního leasingu). Je tedy pravděpodobné, že rozmach v</w:t>
      </w:r>
      <w:r w:rsidR="00546698">
        <w:t> </w:t>
      </w:r>
      <w:r>
        <w:t>oblasti sekundárního trhu nastane zhruba za 3 roky po nárůstu prodejů nových vozidel v</w:t>
      </w:r>
      <w:r w:rsidR="00546698">
        <w:t> </w:t>
      </w:r>
      <w:r>
        <w:t>rámci systematického zařazování do firemních flotil. V</w:t>
      </w:r>
      <w:r w:rsidR="00546698">
        <w:t> </w:t>
      </w:r>
      <w:r>
        <w:t>případě ČR může být významným zdrojem ojetých elektromobilů třeba sousední Německo, zejména ve chvíli, kdy se případná obnova vozového parku urychlí v</w:t>
      </w:r>
      <w:r w:rsidR="00546698">
        <w:t> </w:t>
      </w:r>
      <w:r>
        <w:t>důsledku zavedení nových modelů s</w:t>
      </w:r>
      <w:r w:rsidR="00546698">
        <w:t> </w:t>
      </w:r>
      <w:r>
        <w:t>lepšími parametry či se výrazně rozšíří nabídka typů a</w:t>
      </w:r>
      <w:r w:rsidR="00546698">
        <w:t> </w:t>
      </w:r>
      <w:r>
        <w:t>značek, což lze očekávat po roce 2020.</w:t>
      </w:r>
    </w:p>
    <w:p w14:paraId="2EB718CF" w14:textId="77777777" w:rsidR="001B4719" w:rsidRPr="008F47D3" w:rsidRDefault="001B4719" w:rsidP="001B4719">
      <w:pPr>
        <w:jc w:val="both"/>
        <w:rPr>
          <w:i/>
        </w:rPr>
      </w:pPr>
      <w:r w:rsidRPr="008F47D3">
        <w:rPr>
          <w:i/>
        </w:rPr>
        <w:t>Autobusová doprava</w:t>
      </w:r>
    </w:p>
    <w:p w14:paraId="413F76E5" w14:textId="77777777" w:rsidR="001B4719" w:rsidRDefault="001B4719" w:rsidP="001B4719">
      <w:pPr>
        <w:jc w:val="both"/>
      </w:pPr>
      <w:r>
        <w:t>Do určité míry specifickou kategorii v</w:t>
      </w:r>
      <w:r w:rsidR="00546698">
        <w:t> </w:t>
      </w:r>
      <w:r>
        <w:t>oblasti vozidel s</w:t>
      </w:r>
      <w:r w:rsidR="00546698">
        <w:t> </w:t>
      </w:r>
      <w:r>
        <w:t xml:space="preserve">alternativním pohonem tvoří autobusová doprava. </w:t>
      </w:r>
    </w:p>
    <w:p w14:paraId="3AC103C9" w14:textId="77777777" w:rsidR="001B4719" w:rsidRDefault="001B4719" w:rsidP="001B4719">
      <w:pPr>
        <w:tabs>
          <w:tab w:val="left" w:pos="5860"/>
        </w:tabs>
        <w:jc w:val="both"/>
        <w:rPr>
          <w:rFonts w:eastAsiaTheme="minorEastAsia"/>
        </w:rPr>
      </w:pPr>
      <w:r>
        <w:rPr>
          <w:rFonts w:eastAsiaTheme="minorEastAsia"/>
        </w:rPr>
        <w:t xml:space="preserve">Na rozdíl od osobních vozidel jsou prodeje autobusů významně závislé na veřejných zakázkách </w:t>
      </w:r>
      <w:r w:rsidRPr="004453F4">
        <w:rPr>
          <w:rFonts w:eastAsiaTheme="minorEastAsia"/>
        </w:rPr>
        <w:t>a</w:t>
      </w:r>
      <w:r w:rsidR="00546698">
        <w:rPr>
          <w:rFonts w:eastAsiaTheme="minorEastAsia"/>
        </w:rPr>
        <w:t> </w:t>
      </w:r>
      <w:r w:rsidRPr="004453F4">
        <w:rPr>
          <w:rFonts w:eastAsiaTheme="minorEastAsia"/>
        </w:rPr>
        <w:t>možnostech čerpání dotačních titulů, které dosud značně ovlivňovaly rozsah obnovy vozového parku i</w:t>
      </w:r>
      <w:r w:rsidR="00546698">
        <w:rPr>
          <w:rFonts w:eastAsiaTheme="minorEastAsia"/>
        </w:rPr>
        <w:t> </w:t>
      </w:r>
      <w:r w:rsidRPr="004453F4">
        <w:rPr>
          <w:rFonts w:eastAsiaTheme="minorEastAsia"/>
        </w:rPr>
        <w:t>výběr příslušné alternativní pohonné technologie.</w:t>
      </w:r>
      <w:r>
        <w:rPr>
          <w:rFonts w:eastAsiaTheme="minorEastAsia"/>
        </w:rPr>
        <w:t xml:space="preserve"> Klíčovým faktorem pro navýšení počtu elektrických autobusů v</w:t>
      </w:r>
      <w:r w:rsidR="00546698">
        <w:rPr>
          <w:rFonts w:eastAsiaTheme="minorEastAsia"/>
        </w:rPr>
        <w:t> </w:t>
      </w:r>
      <w:r>
        <w:rPr>
          <w:rFonts w:eastAsiaTheme="minorEastAsia"/>
        </w:rPr>
        <w:t>ČR bude povinnost vyplývající z</w:t>
      </w:r>
      <w:r w:rsidR="00546698">
        <w:rPr>
          <w:rFonts w:eastAsiaTheme="minorEastAsia"/>
        </w:rPr>
        <w:t> </w:t>
      </w:r>
      <w:r>
        <w:rPr>
          <w:rFonts w:eastAsiaTheme="minorEastAsia"/>
        </w:rPr>
        <w:t xml:space="preserve">revidované směrnice </w:t>
      </w:r>
      <w:r w:rsidRPr="004453F4">
        <w:rPr>
          <w:rFonts w:eastAsiaTheme="minorEastAsia"/>
        </w:rPr>
        <w:t xml:space="preserve">2009/33/ES </w:t>
      </w:r>
      <w:r>
        <w:rPr>
          <w:rFonts w:eastAsiaTheme="minorEastAsia"/>
        </w:rPr>
        <w:t>o</w:t>
      </w:r>
      <w:r w:rsidR="00546698">
        <w:rPr>
          <w:rFonts w:eastAsiaTheme="minorEastAsia"/>
        </w:rPr>
        <w:t> </w:t>
      </w:r>
      <w:r>
        <w:rPr>
          <w:rFonts w:eastAsiaTheme="minorEastAsia"/>
        </w:rPr>
        <w:t>podpoře čistých a</w:t>
      </w:r>
      <w:r w:rsidR="00546698">
        <w:rPr>
          <w:rFonts w:eastAsiaTheme="minorEastAsia"/>
        </w:rPr>
        <w:t> </w:t>
      </w:r>
      <w:r>
        <w:rPr>
          <w:rFonts w:eastAsiaTheme="minorEastAsia"/>
        </w:rPr>
        <w:t>energeticky účinných silničních vozidel. Ta uloží povinnost veřejným zadavatelům nasmlouvat určitý podíl „čistých vozidel“. Pro účely této směrnice se za „čistý“ autobus považuje vozidlo na alternativní paliva dle čl. 2(1) směrnice 2014/94/EU. Pro první období (cca od poloviny 2021 do konce 2025) je pro ČR stanoven podíl 41 % a</w:t>
      </w:r>
      <w:r w:rsidR="00546698">
        <w:rPr>
          <w:rFonts w:eastAsiaTheme="minorEastAsia"/>
        </w:rPr>
        <w:t> </w:t>
      </w:r>
      <w:r>
        <w:rPr>
          <w:rFonts w:eastAsiaTheme="minorEastAsia"/>
        </w:rPr>
        <w:t xml:space="preserve">pro druhé období (2026–2030) </w:t>
      </w:r>
      <w:r>
        <w:rPr>
          <w:rFonts w:eastAsiaTheme="minorEastAsia"/>
        </w:rPr>
        <w:lastRenderedPageBreak/>
        <w:t>60</w:t>
      </w:r>
      <w:r w:rsidR="00C161E8">
        <w:rPr>
          <w:rFonts w:eastAsiaTheme="minorEastAsia"/>
        </w:rPr>
        <w:t> </w:t>
      </w:r>
      <w:r>
        <w:rPr>
          <w:rFonts w:eastAsiaTheme="minorEastAsia"/>
        </w:rPr>
        <w:t>%</w:t>
      </w:r>
      <w:r w:rsidR="00C161E8">
        <w:rPr>
          <w:rFonts w:eastAsiaTheme="minorEastAsia"/>
        </w:rPr>
        <w:t> </w:t>
      </w:r>
      <w:r>
        <w:rPr>
          <w:rFonts w:eastAsiaTheme="minorEastAsia"/>
        </w:rPr>
        <w:t>„čistých“ autobusů. Polovina z</w:t>
      </w:r>
      <w:r w:rsidR="00546698">
        <w:rPr>
          <w:rFonts w:eastAsiaTheme="minorEastAsia"/>
        </w:rPr>
        <w:t> </w:t>
      </w:r>
      <w:r>
        <w:rPr>
          <w:rFonts w:eastAsiaTheme="minorEastAsia"/>
        </w:rPr>
        <w:t xml:space="preserve">těchto autobusů by měla být </w:t>
      </w:r>
      <w:r w:rsidRPr="004453F4">
        <w:rPr>
          <w:rFonts w:eastAsiaTheme="minorEastAsia"/>
        </w:rPr>
        <w:t>bezemisních (tedy např. u</w:t>
      </w:r>
      <w:r w:rsidR="00546698">
        <w:rPr>
          <w:rFonts w:eastAsiaTheme="minorEastAsia"/>
        </w:rPr>
        <w:t> </w:t>
      </w:r>
      <w:r w:rsidRPr="004453F4">
        <w:rPr>
          <w:rFonts w:eastAsiaTheme="minorEastAsia"/>
        </w:rPr>
        <w:t>elektrobusů již nebude možné využívat naftové topení)</w:t>
      </w:r>
      <w:r>
        <w:rPr>
          <w:rFonts w:eastAsiaTheme="minorEastAsia"/>
        </w:rPr>
        <w:t>, pro uvedené období tedy cca 20 % a</w:t>
      </w:r>
      <w:r w:rsidR="00546698">
        <w:rPr>
          <w:rFonts w:eastAsiaTheme="minorEastAsia"/>
        </w:rPr>
        <w:t> </w:t>
      </w:r>
      <w:r>
        <w:rPr>
          <w:rFonts w:eastAsiaTheme="minorEastAsia"/>
        </w:rPr>
        <w:t>poté 30 %; započítávat se mohou rovněž trolejbusy. Směrnice se vztahuje na městské a</w:t>
      </w:r>
      <w:r w:rsidR="00546698">
        <w:rPr>
          <w:rFonts w:eastAsiaTheme="minorEastAsia"/>
        </w:rPr>
        <w:t> </w:t>
      </w:r>
      <w:r>
        <w:rPr>
          <w:rFonts w:eastAsiaTheme="minorEastAsia"/>
        </w:rPr>
        <w:t xml:space="preserve">meziměstské autobusy. </w:t>
      </w:r>
    </w:p>
    <w:p w14:paraId="19BB12A2" w14:textId="77777777" w:rsidR="001B4719" w:rsidRDefault="001B4719" w:rsidP="001B4719">
      <w:pPr>
        <w:tabs>
          <w:tab w:val="left" w:pos="5860"/>
        </w:tabs>
        <w:jc w:val="both"/>
        <w:rPr>
          <w:rFonts w:eastAsiaTheme="minorEastAsia"/>
        </w:rPr>
      </w:pPr>
      <w:r>
        <w:rPr>
          <w:rFonts w:eastAsiaTheme="minorEastAsia"/>
        </w:rPr>
        <w:t>Nárůst počtu autobusů v</w:t>
      </w:r>
      <w:r w:rsidR="00546698">
        <w:rPr>
          <w:rFonts w:eastAsiaTheme="minorEastAsia"/>
        </w:rPr>
        <w:t> </w:t>
      </w:r>
      <w:r>
        <w:rPr>
          <w:rFonts w:eastAsiaTheme="minorEastAsia"/>
        </w:rPr>
        <w:t>ČR bude také ovlivněn rozvojem dobíjecí infrastruktury a</w:t>
      </w:r>
      <w:r w:rsidR="00546698">
        <w:rPr>
          <w:rFonts w:eastAsiaTheme="minorEastAsia"/>
        </w:rPr>
        <w:t> </w:t>
      </w:r>
      <w:r>
        <w:rPr>
          <w:rFonts w:eastAsiaTheme="minorEastAsia"/>
        </w:rPr>
        <w:t>existencí možné podpory na její pořízení i</w:t>
      </w:r>
      <w:r w:rsidR="00546698">
        <w:rPr>
          <w:rFonts w:eastAsiaTheme="minorEastAsia"/>
        </w:rPr>
        <w:t> </w:t>
      </w:r>
      <w:r>
        <w:rPr>
          <w:rFonts w:eastAsiaTheme="minorEastAsia"/>
        </w:rPr>
        <w:t>pořízení samotných vozidel (včetně souvisejícího zařízení jako např. bezemisní vytápění vozidel). Důležité rovněž je náležitě nastavit pravidla příslušného dotačního programu tak, aby byla odstupňována výše podpory v</w:t>
      </w:r>
      <w:r w:rsidR="00546698">
        <w:rPr>
          <w:rFonts w:eastAsiaTheme="minorEastAsia"/>
        </w:rPr>
        <w:t> </w:t>
      </w:r>
      <w:r>
        <w:rPr>
          <w:rFonts w:eastAsiaTheme="minorEastAsia"/>
        </w:rPr>
        <w:t>návaznosti a</w:t>
      </w:r>
      <w:r w:rsidR="00546698">
        <w:rPr>
          <w:rFonts w:eastAsiaTheme="minorEastAsia"/>
        </w:rPr>
        <w:t> </w:t>
      </w:r>
      <w:r>
        <w:rPr>
          <w:rFonts w:eastAsiaTheme="minorEastAsia"/>
        </w:rPr>
        <w:t>emisí charakter jednotlivých typů vozidel na alternativní paliva.</w:t>
      </w:r>
    </w:p>
    <w:p w14:paraId="38C697CF" w14:textId="77777777" w:rsidR="001B4719" w:rsidRDefault="001B4719" w:rsidP="001B4719">
      <w:pPr>
        <w:tabs>
          <w:tab w:val="left" w:pos="5860"/>
        </w:tabs>
        <w:jc w:val="both"/>
        <w:rPr>
          <w:rFonts w:eastAsiaTheme="minorEastAsia"/>
        </w:rPr>
      </w:pPr>
      <w:r>
        <w:rPr>
          <w:rFonts w:eastAsiaTheme="minorEastAsia"/>
        </w:rPr>
        <w:t>Důležitým faktorem bude i</w:t>
      </w:r>
      <w:r w:rsidR="00546698">
        <w:rPr>
          <w:rFonts w:eastAsiaTheme="minorEastAsia"/>
        </w:rPr>
        <w:t> </w:t>
      </w:r>
      <w:r>
        <w:rPr>
          <w:rFonts w:eastAsiaTheme="minorEastAsia"/>
        </w:rPr>
        <w:t>legislativa EU stanovující emisní cíle CO</w:t>
      </w:r>
      <w:r w:rsidRPr="00361775">
        <w:rPr>
          <w:rFonts w:eastAsiaTheme="minorEastAsia"/>
          <w:vertAlign w:val="subscript"/>
        </w:rPr>
        <w:t>2</w:t>
      </w:r>
      <w:r>
        <w:rPr>
          <w:rFonts w:eastAsiaTheme="minorEastAsia"/>
        </w:rPr>
        <w:t>. Pro rok 2030 byl schválen cíl snížení emisí CO</w:t>
      </w:r>
      <w:r w:rsidRPr="00C24ABF">
        <w:rPr>
          <w:rFonts w:eastAsiaTheme="minorEastAsia"/>
          <w:vertAlign w:val="subscript"/>
        </w:rPr>
        <w:t>2</w:t>
      </w:r>
      <w:r>
        <w:rPr>
          <w:rFonts w:eastAsiaTheme="minorEastAsia"/>
        </w:rPr>
        <w:t xml:space="preserve"> o</w:t>
      </w:r>
      <w:r w:rsidR="00546698">
        <w:rPr>
          <w:rFonts w:eastAsiaTheme="minorEastAsia"/>
        </w:rPr>
        <w:t> </w:t>
      </w:r>
      <w:r>
        <w:rPr>
          <w:rFonts w:eastAsiaTheme="minorEastAsia"/>
        </w:rPr>
        <w:t>30 % oproti referenčnímu období 2019/2020.</w:t>
      </w:r>
    </w:p>
    <w:p w14:paraId="35BABA90" w14:textId="77777777" w:rsidR="001B4719" w:rsidRDefault="001B4719" w:rsidP="001B4719">
      <w:pPr>
        <w:tabs>
          <w:tab w:val="left" w:pos="5860"/>
        </w:tabs>
        <w:jc w:val="both"/>
        <w:rPr>
          <w:rFonts w:eastAsiaTheme="minorEastAsia"/>
        </w:rPr>
      </w:pPr>
      <w:r w:rsidRPr="004453F4">
        <w:rPr>
          <w:rFonts w:eastAsiaTheme="minorEastAsia"/>
        </w:rPr>
        <w:t>Na základě výše uvedeného je možné nyní odhadnout počet elektrických autobusů a</w:t>
      </w:r>
      <w:r w:rsidR="00546698">
        <w:rPr>
          <w:rFonts w:eastAsiaTheme="minorEastAsia"/>
        </w:rPr>
        <w:t> </w:t>
      </w:r>
      <w:r w:rsidRPr="004453F4">
        <w:rPr>
          <w:rFonts w:eastAsiaTheme="minorEastAsia"/>
        </w:rPr>
        <w:t xml:space="preserve">dynamicky </w:t>
      </w:r>
      <w:r>
        <w:rPr>
          <w:rFonts w:eastAsiaTheme="minorEastAsia"/>
        </w:rPr>
        <w:t>do</w:t>
      </w:r>
      <w:r w:rsidRPr="004453F4">
        <w:rPr>
          <w:rFonts w:eastAsiaTheme="minorEastAsia"/>
        </w:rPr>
        <w:t>bíjených trolejbusů ve vozovém parku ČR v</w:t>
      </w:r>
      <w:r w:rsidR="00546698">
        <w:rPr>
          <w:rFonts w:eastAsiaTheme="minorEastAsia"/>
        </w:rPr>
        <w:t> </w:t>
      </w:r>
      <w:r w:rsidRPr="004453F4">
        <w:rPr>
          <w:rFonts w:eastAsiaTheme="minorEastAsia"/>
        </w:rPr>
        <w:t>roce 2030 na úrovni cca 1</w:t>
      </w:r>
      <w:r>
        <w:rPr>
          <w:rFonts w:eastAsiaTheme="minorEastAsia"/>
        </w:rPr>
        <w:t xml:space="preserve"> </w:t>
      </w:r>
      <w:r w:rsidRPr="004453F4">
        <w:rPr>
          <w:rFonts w:eastAsiaTheme="minorEastAsia"/>
        </w:rPr>
        <w:t>600 až 2</w:t>
      </w:r>
      <w:r>
        <w:rPr>
          <w:rFonts w:eastAsiaTheme="minorEastAsia"/>
        </w:rPr>
        <w:t xml:space="preserve"> </w:t>
      </w:r>
      <w:r w:rsidRPr="004453F4">
        <w:rPr>
          <w:rFonts w:eastAsiaTheme="minorEastAsia"/>
        </w:rPr>
        <w:t>000 ks (800 až 1</w:t>
      </w:r>
      <w:r w:rsidR="00C161E8">
        <w:rPr>
          <w:rFonts w:eastAsiaTheme="minorEastAsia"/>
        </w:rPr>
        <w:t> </w:t>
      </w:r>
      <w:r w:rsidRPr="004453F4">
        <w:rPr>
          <w:rFonts w:eastAsiaTheme="minorEastAsia"/>
        </w:rPr>
        <w:t>200 kusů bez trolejbusů).</w:t>
      </w:r>
    </w:p>
    <w:p w14:paraId="57940266" w14:textId="77777777" w:rsidR="001B4719" w:rsidRPr="00851C34" w:rsidRDefault="001B4719" w:rsidP="001B4719">
      <w:pPr>
        <w:tabs>
          <w:tab w:val="left" w:pos="5860"/>
        </w:tabs>
        <w:jc w:val="both"/>
        <w:rPr>
          <w:rFonts w:eastAsiaTheme="minorEastAsia"/>
        </w:rPr>
      </w:pPr>
      <w:r>
        <w:rPr>
          <w:rFonts w:eastAsiaTheme="minorEastAsia"/>
        </w:rPr>
        <w:t>Vývoj v</w:t>
      </w:r>
      <w:r w:rsidR="00546698">
        <w:rPr>
          <w:rFonts w:eastAsiaTheme="minorEastAsia"/>
        </w:rPr>
        <w:t> </w:t>
      </w:r>
      <w:r>
        <w:rPr>
          <w:rFonts w:eastAsiaTheme="minorEastAsia"/>
        </w:rPr>
        <w:t>této oblasti je nicméně třeba podpořit určitým souborem legislativních i</w:t>
      </w:r>
      <w:r w:rsidR="00546698">
        <w:rPr>
          <w:rFonts w:eastAsiaTheme="minorEastAsia"/>
        </w:rPr>
        <w:t> </w:t>
      </w:r>
      <w:r>
        <w:rPr>
          <w:rFonts w:eastAsiaTheme="minorEastAsia"/>
        </w:rPr>
        <w:t>nelegislativních kroků, které podpoří úsilí jednotlivých dopravních podniků o</w:t>
      </w:r>
      <w:r w:rsidR="00546698">
        <w:rPr>
          <w:rFonts w:eastAsiaTheme="minorEastAsia"/>
        </w:rPr>
        <w:t> </w:t>
      </w:r>
      <w:r>
        <w:rPr>
          <w:rFonts w:eastAsiaTheme="minorEastAsia"/>
        </w:rPr>
        <w:t>zavádění bezemisních autobusů.</w:t>
      </w:r>
    </w:p>
    <w:p w14:paraId="642CE5F5" w14:textId="77777777" w:rsidR="001B4719" w:rsidRDefault="001B4719" w:rsidP="001B4719">
      <w:pPr>
        <w:pStyle w:val="Nadpis4"/>
        <w:numPr>
          <w:ilvl w:val="3"/>
          <w:numId w:val="9"/>
        </w:numPr>
        <w:jc w:val="both"/>
      </w:pPr>
      <w:bookmarkStart w:id="204" w:name="_Toc12540131"/>
      <w:bookmarkStart w:id="205" w:name="_Toc19792313"/>
      <w:bookmarkStart w:id="206" w:name="_Toc25136793"/>
      <w:bookmarkStart w:id="207" w:name="_Toc34295919"/>
      <w:r>
        <w:t>Projekce počtu dobíjecích stanic</w:t>
      </w:r>
      <w:bookmarkEnd w:id="204"/>
      <w:bookmarkEnd w:id="205"/>
      <w:bookmarkEnd w:id="206"/>
      <w:bookmarkEnd w:id="207"/>
    </w:p>
    <w:p w14:paraId="297EDF37" w14:textId="77777777" w:rsidR="00EF3C02" w:rsidRPr="00EF3C02" w:rsidRDefault="001B4719" w:rsidP="00EF3C02">
      <w:pPr>
        <w:jc w:val="both"/>
      </w:pPr>
      <w:r>
        <w:t>Pro vytvoření predikce potřeby počtu dobíjecích bodů v</w:t>
      </w:r>
      <w:r w:rsidR="00546698">
        <w:t> </w:t>
      </w:r>
      <w:r>
        <w:t xml:space="preserve">časových řezech do roku 2030 bylo využito </w:t>
      </w:r>
      <w:r w:rsidRPr="007D4D7B">
        <w:t>simulačního stochastického modelu</w:t>
      </w:r>
      <w:r>
        <w:t>. Tato simulace očekávaného počtu EV a</w:t>
      </w:r>
      <w:r w:rsidR="00546698">
        <w:t> </w:t>
      </w:r>
      <w:r>
        <w:t>jejich chování (způsob využití, nájezd, způsob dobití) byla provedena ve třech scénářích. Výstupem práce bylo identifikování potřebného počtu veřejných dobíjecích bodů dle scénářů a</w:t>
      </w:r>
      <w:r w:rsidR="00546698">
        <w:t> </w:t>
      </w:r>
      <w:r>
        <w:t>časových řezů, konkrétní hodnoty uvádí následující tabulka.</w:t>
      </w:r>
    </w:p>
    <w:p w14:paraId="03461A73" w14:textId="77777777" w:rsidR="00EF3C02" w:rsidRDefault="00EF3C02" w:rsidP="00EF3C02">
      <w:pPr>
        <w:pStyle w:val="Titulek"/>
        <w:keepNext/>
      </w:pPr>
      <w:bookmarkStart w:id="208" w:name="_Toc34295866"/>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7</w:t>
      </w:r>
      <w:r w:rsidR="001614BC">
        <w:rPr>
          <w:noProof/>
        </w:rPr>
        <w:fldChar w:fldCharType="end"/>
      </w:r>
      <w:r w:rsidRPr="00EF3C02">
        <w:t xml:space="preserve"> </w:t>
      </w:r>
      <w:r>
        <w:t>Projekce počtu dobíjecích stanic</w:t>
      </w:r>
      <w:bookmarkEnd w:id="208"/>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65"/>
        <w:gridCol w:w="2048"/>
        <w:gridCol w:w="2048"/>
        <w:gridCol w:w="2047"/>
      </w:tblGrid>
      <w:tr w:rsidR="001B4719" w:rsidRPr="001A3B75" w14:paraId="4222AF52" w14:textId="77777777" w:rsidTr="00EF3C02">
        <w:trPr>
          <w:tblHeader/>
        </w:trPr>
        <w:tc>
          <w:tcPr>
            <w:tcW w:w="1803" w:type="pct"/>
            <w:shd w:val="clear" w:color="auto" w:fill="548DD4"/>
          </w:tcPr>
          <w:p w14:paraId="33715C9C" w14:textId="77777777" w:rsidR="001B4719" w:rsidRPr="00C42747" w:rsidRDefault="001B4719" w:rsidP="000050AA">
            <w:pPr>
              <w:spacing w:before="60" w:after="60"/>
              <w:jc w:val="both"/>
              <w:rPr>
                <w:b/>
                <w:color w:val="FFFFFF" w:themeColor="background1"/>
              </w:rPr>
            </w:pPr>
            <w:r w:rsidRPr="00C42747">
              <w:rPr>
                <w:b/>
                <w:color w:val="FFFFFF" w:themeColor="background1"/>
              </w:rPr>
              <w:t>Rok/scénář</w:t>
            </w:r>
          </w:p>
        </w:tc>
        <w:tc>
          <w:tcPr>
            <w:tcW w:w="1066" w:type="pct"/>
            <w:shd w:val="clear" w:color="auto" w:fill="548DD4"/>
            <w:vAlign w:val="center"/>
          </w:tcPr>
          <w:p w14:paraId="1EFA944F" w14:textId="77777777" w:rsidR="001B4719" w:rsidRPr="00C42747" w:rsidRDefault="001B4719" w:rsidP="00DB16AB">
            <w:pPr>
              <w:spacing w:before="60" w:after="60"/>
              <w:jc w:val="center"/>
              <w:rPr>
                <w:b/>
                <w:color w:val="FFFFFF" w:themeColor="background1"/>
              </w:rPr>
            </w:pPr>
            <w:r w:rsidRPr="00C42747">
              <w:rPr>
                <w:b/>
                <w:color w:val="FFFFFF" w:themeColor="background1"/>
              </w:rPr>
              <w:t>2020</w:t>
            </w:r>
          </w:p>
        </w:tc>
        <w:tc>
          <w:tcPr>
            <w:tcW w:w="1066" w:type="pct"/>
            <w:shd w:val="clear" w:color="auto" w:fill="548DD4"/>
            <w:vAlign w:val="center"/>
          </w:tcPr>
          <w:p w14:paraId="0E1857B2" w14:textId="77777777" w:rsidR="001B4719" w:rsidRPr="00C42747" w:rsidRDefault="001B4719" w:rsidP="00DB16AB">
            <w:pPr>
              <w:spacing w:before="60" w:after="60"/>
              <w:jc w:val="center"/>
              <w:rPr>
                <w:b/>
                <w:color w:val="FFFFFF" w:themeColor="background1"/>
              </w:rPr>
            </w:pPr>
            <w:r w:rsidRPr="00C42747">
              <w:rPr>
                <w:b/>
                <w:color w:val="FFFFFF" w:themeColor="background1"/>
              </w:rPr>
              <w:t>2025</w:t>
            </w:r>
          </w:p>
        </w:tc>
        <w:tc>
          <w:tcPr>
            <w:tcW w:w="1066" w:type="pct"/>
            <w:shd w:val="clear" w:color="auto" w:fill="548DD4"/>
          </w:tcPr>
          <w:p w14:paraId="56E8F598" w14:textId="77777777" w:rsidR="001B4719" w:rsidRPr="00C42747" w:rsidRDefault="001B4719" w:rsidP="00DB16AB">
            <w:pPr>
              <w:spacing w:before="60" w:after="60"/>
              <w:jc w:val="center"/>
              <w:rPr>
                <w:b/>
                <w:color w:val="FFFFFF" w:themeColor="background1"/>
              </w:rPr>
            </w:pPr>
            <w:r w:rsidRPr="00C42747">
              <w:rPr>
                <w:b/>
                <w:color w:val="FFFFFF" w:themeColor="background1"/>
              </w:rPr>
              <w:t>2030</w:t>
            </w:r>
          </w:p>
        </w:tc>
      </w:tr>
      <w:tr w:rsidR="001B4719" w:rsidRPr="001A3B75" w14:paraId="0A554356" w14:textId="77777777" w:rsidTr="00EF3C02">
        <w:tc>
          <w:tcPr>
            <w:tcW w:w="1803" w:type="pct"/>
          </w:tcPr>
          <w:p w14:paraId="47ACB43B" w14:textId="77777777" w:rsidR="001B4719" w:rsidRPr="001A3B75" w:rsidRDefault="001B4719" w:rsidP="000050AA">
            <w:pPr>
              <w:spacing w:before="60" w:after="60"/>
              <w:jc w:val="both"/>
            </w:pPr>
            <w:r>
              <w:t>Nízký</w:t>
            </w:r>
          </w:p>
        </w:tc>
        <w:tc>
          <w:tcPr>
            <w:tcW w:w="1066" w:type="pct"/>
          </w:tcPr>
          <w:p w14:paraId="478B144C" w14:textId="77777777" w:rsidR="001B4719" w:rsidRPr="001A3B75" w:rsidRDefault="001B4719" w:rsidP="00DB16AB">
            <w:pPr>
              <w:spacing w:before="60" w:after="60"/>
              <w:jc w:val="center"/>
            </w:pPr>
            <w:r>
              <w:t>140</w:t>
            </w:r>
          </w:p>
        </w:tc>
        <w:tc>
          <w:tcPr>
            <w:tcW w:w="1066" w:type="pct"/>
          </w:tcPr>
          <w:p w14:paraId="3D9691C9" w14:textId="77777777" w:rsidR="001B4719" w:rsidRPr="001A3B75" w:rsidRDefault="001B4719" w:rsidP="00DB16AB">
            <w:pPr>
              <w:spacing w:before="60" w:after="60"/>
              <w:jc w:val="center"/>
            </w:pPr>
            <w:r>
              <w:t>436</w:t>
            </w:r>
          </w:p>
        </w:tc>
        <w:tc>
          <w:tcPr>
            <w:tcW w:w="1066" w:type="pct"/>
          </w:tcPr>
          <w:p w14:paraId="54638E41" w14:textId="77777777" w:rsidR="001B4719" w:rsidRPr="001A3B75" w:rsidRDefault="001B4719" w:rsidP="00DB16AB">
            <w:pPr>
              <w:spacing w:before="60" w:after="60"/>
              <w:jc w:val="center"/>
            </w:pPr>
            <w:r>
              <w:t>6 417</w:t>
            </w:r>
          </w:p>
        </w:tc>
      </w:tr>
      <w:tr w:rsidR="001B4719" w:rsidRPr="001A3B75" w14:paraId="69148A13" w14:textId="77777777" w:rsidTr="00EF3C02">
        <w:tc>
          <w:tcPr>
            <w:tcW w:w="1803" w:type="pct"/>
          </w:tcPr>
          <w:p w14:paraId="0404E70E" w14:textId="77777777" w:rsidR="001B4719" w:rsidRPr="001A3B75" w:rsidRDefault="001B4719" w:rsidP="000050AA">
            <w:pPr>
              <w:spacing w:before="60" w:after="60"/>
              <w:jc w:val="both"/>
            </w:pPr>
            <w:r>
              <w:t>Střední</w:t>
            </w:r>
          </w:p>
        </w:tc>
        <w:tc>
          <w:tcPr>
            <w:tcW w:w="1066" w:type="pct"/>
          </w:tcPr>
          <w:p w14:paraId="4B20A906" w14:textId="77777777" w:rsidR="001B4719" w:rsidRPr="001A3B75" w:rsidRDefault="001B4719" w:rsidP="00DB16AB">
            <w:pPr>
              <w:spacing w:before="60" w:after="60"/>
              <w:jc w:val="center"/>
            </w:pPr>
            <w:r>
              <w:t>339</w:t>
            </w:r>
          </w:p>
        </w:tc>
        <w:tc>
          <w:tcPr>
            <w:tcW w:w="1066" w:type="pct"/>
          </w:tcPr>
          <w:p w14:paraId="3F013A13" w14:textId="77777777" w:rsidR="001B4719" w:rsidRPr="001A3B75" w:rsidRDefault="001B4719" w:rsidP="00DB16AB">
            <w:pPr>
              <w:spacing w:before="60" w:after="60"/>
              <w:jc w:val="center"/>
            </w:pPr>
            <w:r>
              <w:t>3 569</w:t>
            </w:r>
          </w:p>
        </w:tc>
        <w:tc>
          <w:tcPr>
            <w:tcW w:w="1066" w:type="pct"/>
          </w:tcPr>
          <w:p w14:paraId="2D1DBE26" w14:textId="77777777" w:rsidR="001B4719" w:rsidRPr="001A3B75" w:rsidRDefault="001B4719" w:rsidP="00DB16AB">
            <w:pPr>
              <w:spacing w:before="60" w:after="60"/>
              <w:jc w:val="center"/>
            </w:pPr>
            <w:r>
              <w:t>17 704</w:t>
            </w:r>
          </w:p>
        </w:tc>
      </w:tr>
      <w:tr w:rsidR="001B4719" w:rsidRPr="001A3B75" w14:paraId="1329915C" w14:textId="77777777" w:rsidTr="00EF3C02">
        <w:tc>
          <w:tcPr>
            <w:tcW w:w="1803" w:type="pct"/>
          </w:tcPr>
          <w:p w14:paraId="5401E5AD" w14:textId="77777777" w:rsidR="001B4719" w:rsidRPr="001A3B75" w:rsidRDefault="001B4719" w:rsidP="000050AA">
            <w:pPr>
              <w:spacing w:before="60" w:after="60"/>
              <w:jc w:val="both"/>
            </w:pPr>
            <w:r>
              <w:t>Vysoký</w:t>
            </w:r>
          </w:p>
        </w:tc>
        <w:tc>
          <w:tcPr>
            <w:tcW w:w="1066" w:type="pct"/>
          </w:tcPr>
          <w:p w14:paraId="67D4F177" w14:textId="77777777" w:rsidR="001B4719" w:rsidRPr="001A3B75" w:rsidRDefault="001B4719" w:rsidP="00DB16AB">
            <w:pPr>
              <w:spacing w:before="60" w:after="60"/>
              <w:jc w:val="center"/>
            </w:pPr>
            <w:r>
              <w:t>902</w:t>
            </w:r>
          </w:p>
        </w:tc>
        <w:tc>
          <w:tcPr>
            <w:tcW w:w="1066" w:type="pct"/>
          </w:tcPr>
          <w:p w14:paraId="6F405757" w14:textId="77777777" w:rsidR="001B4719" w:rsidRPr="001A3B75" w:rsidRDefault="001B4719" w:rsidP="00DB16AB">
            <w:pPr>
              <w:spacing w:before="60" w:after="60"/>
              <w:jc w:val="center"/>
            </w:pPr>
            <w:r>
              <w:t>12 671</w:t>
            </w:r>
          </w:p>
        </w:tc>
        <w:tc>
          <w:tcPr>
            <w:tcW w:w="1066" w:type="pct"/>
          </w:tcPr>
          <w:p w14:paraId="1263A124" w14:textId="77777777" w:rsidR="001B4719" w:rsidRPr="001A3B75" w:rsidRDefault="001B4719" w:rsidP="00DB16AB">
            <w:pPr>
              <w:spacing w:before="60" w:after="60"/>
              <w:jc w:val="center"/>
            </w:pPr>
            <w:r>
              <w:t>66 148</w:t>
            </w:r>
          </w:p>
        </w:tc>
      </w:tr>
    </w:tbl>
    <w:p w14:paraId="3CBA4180" w14:textId="77777777" w:rsidR="001B4719" w:rsidRDefault="001B4719" w:rsidP="001B4719">
      <w:pPr>
        <w:jc w:val="both"/>
        <w:rPr>
          <w:i/>
        </w:rPr>
      </w:pPr>
      <w:r>
        <w:rPr>
          <w:i/>
        </w:rPr>
        <w:t>Zdroj: Euroenergy, 2018</w:t>
      </w:r>
    </w:p>
    <w:p w14:paraId="506FA57D" w14:textId="77777777" w:rsidR="007E54C7" w:rsidRDefault="007E54C7">
      <w:pPr>
        <w:spacing w:before="0" w:after="200" w:line="276" w:lineRule="auto"/>
        <w:rPr>
          <w:b/>
          <w:bCs/>
          <w:szCs w:val="28"/>
        </w:rPr>
      </w:pPr>
      <w:bookmarkStart w:id="209" w:name="_Toc12540132"/>
      <w:bookmarkStart w:id="210" w:name="_Toc19792314"/>
      <w:r>
        <w:br w:type="page"/>
      </w:r>
    </w:p>
    <w:p w14:paraId="662C8C04" w14:textId="77777777" w:rsidR="001B4719" w:rsidRDefault="001B4719" w:rsidP="001B4719">
      <w:pPr>
        <w:pStyle w:val="Nadpis4"/>
        <w:numPr>
          <w:ilvl w:val="3"/>
          <w:numId w:val="9"/>
        </w:numPr>
        <w:jc w:val="both"/>
      </w:pPr>
      <w:bookmarkStart w:id="211" w:name="_Toc25136794"/>
      <w:bookmarkStart w:id="212" w:name="_Toc34295920"/>
      <w:r>
        <w:lastRenderedPageBreak/>
        <w:t>Předpokládaný model rozvoje dobíjecí infrastruktury</w:t>
      </w:r>
      <w:bookmarkEnd w:id="209"/>
      <w:bookmarkEnd w:id="210"/>
      <w:bookmarkEnd w:id="211"/>
      <w:bookmarkEnd w:id="212"/>
    </w:p>
    <w:p w14:paraId="56046CF6" w14:textId="77777777" w:rsidR="001B4719" w:rsidRPr="000C6828" w:rsidRDefault="001B4719" w:rsidP="001B4719">
      <w:pPr>
        <w:jc w:val="both"/>
        <w:rPr>
          <w:b/>
          <w:u w:val="single"/>
        </w:rPr>
      </w:pPr>
      <w:bookmarkStart w:id="213" w:name="_Toc12540133"/>
      <w:r w:rsidRPr="000C6828">
        <w:rPr>
          <w:b/>
          <w:u w:val="single"/>
        </w:rPr>
        <w:t>Veřejná (poloveřejná) dobíjecí infrastruktura</w:t>
      </w:r>
      <w:bookmarkEnd w:id="213"/>
    </w:p>
    <w:p w14:paraId="02D50EB5" w14:textId="77777777" w:rsidR="001B4719" w:rsidRDefault="001B4719" w:rsidP="001B4719">
      <w:pPr>
        <w:jc w:val="both"/>
      </w:pPr>
      <w:r>
        <w:t>Přestože elektromobilita zažívá dynamický rozvoj, je trh dobíjení stále ještě ve stádiu raného rozvoje. Je zatížen značnými nejistotami a</w:t>
      </w:r>
      <w:r w:rsidR="00546698">
        <w:t> </w:t>
      </w:r>
      <w:r>
        <w:t>to zejména:</w:t>
      </w:r>
    </w:p>
    <w:p w14:paraId="42A1FA77" w14:textId="77777777" w:rsidR="001B4719" w:rsidRDefault="001B4719" w:rsidP="001B4719">
      <w:pPr>
        <w:pStyle w:val="Odrka1"/>
        <w:jc w:val="both"/>
      </w:pPr>
      <w:r>
        <w:t>V oblasti regulace (vliv regulatorního rámce na fungování trhu)</w:t>
      </w:r>
    </w:p>
    <w:p w14:paraId="5B12705D" w14:textId="77777777" w:rsidR="001B4719" w:rsidRDefault="001B4719" w:rsidP="001B4719">
      <w:pPr>
        <w:pStyle w:val="Odrka1"/>
        <w:jc w:val="both"/>
      </w:pPr>
      <w:r>
        <w:t>V oblasti technologií (nárůst kapacit akumulátorů / dobíjecích výkonů)</w:t>
      </w:r>
    </w:p>
    <w:p w14:paraId="6D6D750D" w14:textId="77777777" w:rsidR="001B4719" w:rsidRDefault="001B4719" w:rsidP="001B4719">
      <w:pPr>
        <w:pStyle w:val="Odrka1"/>
        <w:jc w:val="both"/>
      </w:pPr>
      <w:r>
        <w:t>V chování typického masového zákazníka (chování a</w:t>
      </w:r>
      <w:r w:rsidR="00546698">
        <w:t> </w:t>
      </w:r>
      <w:r>
        <w:t>očekávání dnešních provozovatelů elektromobilů nemusí být reprezentativním vzorkem masového trhu)</w:t>
      </w:r>
    </w:p>
    <w:p w14:paraId="1B3068B0" w14:textId="77777777" w:rsidR="001B4719" w:rsidRPr="000C6828" w:rsidRDefault="001B4719" w:rsidP="001B4719">
      <w:pPr>
        <w:jc w:val="both"/>
        <w:rPr>
          <w:u w:val="single"/>
        </w:rPr>
      </w:pPr>
      <w:r w:rsidRPr="000C6828">
        <w:rPr>
          <w:u w:val="single"/>
        </w:rPr>
        <w:t>Stávající model fungování trhu v</w:t>
      </w:r>
      <w:r w:rsidR="00546698">
        <w:rPr>
          <w:u w:val="single"/>
        </w:rPr>
        <w:t> </w:t>
      </w:r>
      <w:r w:rsidRPr="000C6828">
        <w:rPr>
          <w:u w:val="single"/>
        </w:rPr>
        <w:t>ČR</w:t>
      </w:r>
    </w:p>
    <w:p w14:paraId="2B2CF03F" w14:textId="77777777" w:rsidR="001B4719" w:rsidRDefault="001B4719" w:rsidP="001B4719">
      <w:pPr>
        <w:jc w:val="both"/>
      </w:pPr>
      <w:r>
        <w:t>Z pohledu budování a</w:t>
      </w:r>
      <w:r w:rsidR="00546698">
        <w:t> </w:t>
      </w:r>
      <w:r>
        <w:t>provozování sítě veřejných dobíjecích stanic lze identifikovat dvě role, které jsou zásadní z</w:t>
      </w:r>
      <w:r w:rsidR="00546698">
        <w:t> </w:t>
      </w:r>
      <w:r>
        <w:t>pohledu fungování elektromobilního trhu:</w:t>
      </w:r>
    </w:p>
    <w:p w14:paraId="76095F39" w14:textId="77777777" w:rsidR="001B4719" w:rsidRPr="000C6828" w:rsidRDefault="001B4719" w:rsidP="001B4719">
      <w:pPr>
        <w:pStyle w:val="Odstavecseseznamem"/>
        <w:numPr>
          <w:ilvl w:val="0"/>
          <w:numId w:val="15"/>
        </w:numPr>
        <w:spacing w:after="0"/>
        <w:ind w:left="357" w:hanging="357"/>
        <w:contextualSpacing w:val="0"/>
        <w:jc w:val="both"/>
        <w:rPr>
          <w:rFonts w:cs="Arial"/>
          <w:szCs w:val="22"/>
        </w:rPr>
      </w:pPr>
      <w:r w:rsidRPr="000C6828">
        <w:rPr>
          <w:rFonts w:cs="Arial"/>
          <w:b/>
          <w:szCs w:val="22"/>
        </w:rPr>
        <w:t>Role vlastníka a</w:t>
      </w:r>
      <w:r w:rsidR="00546698">
        <w:rPr>
          <w:rFonts w:cs="Arial"/>
          <w:b/>
          <w:szCs w:val="22"/>
        </w:rPr>
        <w:t> </w:t>
      </w:r>
      <w:r w:rsidRPr="000C6828">
        <w:rPr>
          <w:rFonts w:cs="Arial"/>
          <w:b/>
          <w:szCs w:val="22"/>
        </w:rPr>
        <w:t>provozovatele</w:t>
      </w:r>
      <w:r w:rsidRPr="000C6828">
        <w:rPr>
          <w:rFonts w:cs="Arial"/>
          <w:szCs w:val="22"/>
        </w:rPr>
        <w:t xml:space="preserve"> (ve smyslu technickém) dobíjecí infrastruktury (tzv. CPO – </w:t>
      </w:r>
      <w:r w:rsidRPr="00DB16AB">
        <w:rPr>
          <w:rFonts w:cs="Arial"/>
          <w:szCs w:val="22"/>
          <w:lang w:val="en-GB"/>
        </w:rPr>
        <w:t>Charge</w:t>
      </w:r>
      <w:r w:rsidRPr="000C6828">
        <w:rPr>
          <w:rFonts w:cs="Arial"/>
          <w:szCs w:val="22"/>
        </w:rPr>
        <w:t xml:space="preserve"> Point </w:t>
      </w:r>
      <w:r w:rsidRPr="00DB16AB">
        <w:rPr>
          <w:rFonts w:cs="Arial"/>
          <w:szCs w:val="22"/>
          <w:lang w:val="en-GB"/>
        </w:rPr>
        <w:t>Operator</w:t>
      </w:r>
      <w:r w:rsidRPr="000C6828">
        <w:rPr>
          <w:rFonts w:cs="Arial"/>
          <w:szCs w:val="22"/>
        </w:rPr>
        <w:t>)</w:t>
      </w:r>
    </w:p>
    <w:p w14:paraId="609712B4" w14:textId="77777777" w:rsidR="001B4719" w:rsidRDefault="001B4719" w:rsidP="001B4719">
      <w:pPr>
        <w:ind w:left="357"/>
        <w:jc w:val="both"/>
      </w:pPr>
      <w:r>
        <w:t xml:space="preserve">CPO je odpovědný za dobíjecí infrastrukturu včetně zajištění potřebného napájecího příkonu </w:t>
      </w:r>
      <w:r w:rsidRPr="00480855">
        <w:t>(odběrného místa)</w:t>
      </w:r>
      <w:r>
        <w:t xml:space="preserve"> a</w:t>
      </w:r>
      <w:r w:rsidR="00546698">
        <w:t> </w:t>
      </w:r>
      <w:r>
        <w:t>případně související infrastrukturu potřebnou pro fungování dobíjecích stanic (např. i</w:t>
      </w:r>
      <w:r w:rsidR="00546698">
        <w:t> </w:t>
      </w:r>
      <w:r>
        <w:t xml:space="preserve">dedikovaných parkovacích stání). </w:t>
      </w:r>
    </w:p>
    <w:p w14:paraId="1EB56D1E" w14:textId="77777777" w:rsidR="001B4719" w:rsidRPr="000C6828" w:rsidRDefault="001B4719" w:rsidP="001B4719">
      <w:pPr>
        <w:pStyle w:val="Odstavecseseznamem"/>
        <w:numPr>
          <w:ilvl w:val="0"/>
          <w:numId w:val="15"/>
        </w:numPr>
        <w:spacing w:after="0"/>
        <w:ind w:left="357" w:hanging="357"/>
        <w:contextualSpacing w:val="0"/>
        <w:jc w:val="both"/>
        <w:rPr>
          <w:rFonts w:cs="Arial"/>
          <w:szCs w:val="22"/>
        </w:rPr>
      </w:pPr>
      <w:r w:rsidRPr="000C6828">
        <w:rPr>
          <w:rFonts w:cs="Arial"/>
          <w:b/>
          <w:szCs w:val="22"/>
        </w:rPr>
        <w:t>Role poskytovatele služby dobíjení</w:t>
      </w:r>
      <w:r w:rsidRPr="000C6828">
        <w:rPr>
          <w:rFonts w:cs="Arial"/>
          <w:szCs w:val="22"/>
        </w:rPr>
        <w:t xml:space="preserve"> (EMP – </w:t>
      </w:r>
      <w:r w:rsidRPr="00DB16AB">
        <w:rPr>
          <w:rFonts w:cs="Arial"/>
          <w:szCs w:val="22"/>
          <w:lang w:val="en-GB"/>
        </w:rPr>
        <w:t>Emobility service</w:t>
      </w:r>
      <w:r w:rsidRPr="000C6828">
        <w:rPr>
          <w:rFonts w:cs="Arial"/>
          <w:szCs w:val="22"/>
        </w:rPr>
        <w:t xml:space="preserve"> Provider)</w:t>
      </w:r>
    </w:p>
    <w:p w14:paraId="3127D6B1" w14:textId="77777777" w:rsidR="001B4719" w:rsidRDefault="001B4719" w:rsidP="001B4719">
      <w:pPr>
        <w:ind w:left="357"/>
        <w:jc w:val="both"/>
      </w:pPr>
      <w:r>
        <w:t xml:space="preserve">EMP zajišťuje poskytování / prodej služby dobíjení koncovému zákazníkovi (elektromobilistovi). </w:t>
      </w:r>
    </w:p>
    <w:p w14:paraId="60640004" w14:textId="77777777" w:rsidR="00EF3C02" w:rsidRPr="00EF3C02" w:rsidRDefault="001B4719" w:rsidP="00EF3C02">
      <w:pPr>
        <w:jc w:val="both"/>
      </w:pPr>
      <w:r>
        <w:t>V dnešní době převažuje model, kdy CPO i</w:t>
      </w:r>
      <w:r w:rsidR="00546698">
        <w:t> </w:t>
      </w:r>
      <w:r>
        <w:t>EMP jsou stejná osoba (prodej koncovému zákazníkovi může technicky zajišťovat třetí osoba, např. formou mobilní aplikace), tuto situaci ilustruje následující schéma:</w:t>
      </w:r>
    </w:p>
    <w:p w14:paraId="776190BC" w14:textId="77777777" w:rsidR="00EF3C02" w:rsidRDefault="00EF3C02" w:rsidP="00EF3C02">
      <w:pPr>
        <w:pStyle w:val="Titulek"/>
        <w:keepNext/>
        <w:jc w:val="both"/>
      </w:pPr>
      <w:bookmarkStart w:id="214" w:name="_Toc25230410"/>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3</w:t>
      </w:r>
      <w:r w:rsidR="001614BC">
        <w:rPr>
          <w:noProof/>
        </w:rPr>
        <w:fldChar w:fldCharType="end"/>
      </w:r>
      <w:r w:rsidRPr="00EF3C02">
        <w:t xml:space="preserve"> </w:t>
      </w:r>
      <w:r>
        <w:t>Schéma modelu dobíjení, CPO i</w:t>
      </w:r>
      <w:r w:rsidR="00546698">
        <w:t> </w:t>
      </w:r>
      <w:r>
        <w:t>EMP stejná osoba</w:t>
      </w:r>
      <w:bookmarkEnd w:id="214"/>
    </w:p>
    <w:p w14:paraId="74FA8317" w14:textId="77777777" w:rsidR="001B4719" w:rsidRDefault="001B4719" w:rsidP="001B4719">
      <w:pPr>
        <w:jc w:val="both"/>
      </w:pPr>
      <w:r>
        <w:rPr>
          <w:noProof/>
        </w:rPr>
        <w:drawing>
          <wp:inline distT="0" distB="0" distL="0" distR="0" wp14:anchorId="11980B49" wp14:editId="10F5AB64">
            <wp:extent cx="5442880" cy="1196340"/>
            <wp:effectExtent l="0" t="0" r="5715" b="381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2387" cy="1196232"/>
                    </a:xfrm>
                    <a:prstGeom prst="rect">
                      <a:avLst/>
                    </a:prstGeom>
                    <a:noFill/>
                  </pic:spPr>
                </pic:pic>
              </a:graphicData>
            </a:graphic>
          </wp:inline>
        </w:drawing>
      </w:r>
    </w:p>
    <w:p w14:paraId="498400DE" w14:textId="77777777" w:rsidR="001B4719" w:rsidRDefault="001B4719" w:rsidP="001B4719">
      <w:pPr>
        <w:jc w:val="both"/>
      </w:pPr>
    </w:p>
    <w:p w14:paraId="682213B2" w14:textId="77777777" w:rsidR="001B4719" w:rsidRDefault="001B4719" w:rsidP="001B4719">
      <w:pPr>
        <w:jc w:val="both"/>
      </w:pPr>
      <w:r>
        <w:t>Hlavním důvody tohoto stavu jsou následující:</w:t>
      </w:r>
    </w:p>
    <w:p w14:paraId="7E5A85B4" w14:textId="77777777" w:rsidR="001B4719" w:rsidRDefault="001B4719" w:rsidP="001B4719">
      <w:pPr>
        <w:pStyle w:val="Odrka1"/>
        <w:jc w:val="both"/>
      </w:pPr>
      <w:r>
        <w:t>Provoz dobíjecí infrastruktury je v</w:t>
      </w:r>
      <w:r w:rsidR="00546698">
        <w:t> </w:t>
      </w:r>
      <w:r>
        <w:t>tuto chvíli ztrátový. Ztráta tedy zůstává u</w:t>
      </w:r>
      <w:r w:rsidR="00546698">
        <w:t> </w:t>
      </w:r>
      <w:r>
        <w:t>jedné osoby a</w:t>
      </w:r>
      <w:r w:rsidR="00546698">
        <w:t> </w:t>
      </w:r>
      <w:r>
        <w:t>není třeba hledat způsob jak ji dělit mezi CPO a</w:t>
      </w:r>
      <w:r w:rsidR="00546698">
        <w:t> </w:t>
      </w:r>
      <w:r>
        <w:t>EMP.</w:t>
      </w:r>
    </w:p>
    <w:p w14:paraId="71C835C3" w14:textId="77777777" w:rsidR="001B4719" w:rsidRDefault="001B4719" w:rsidP="001B4719">
      <w:pPr>
        <w:pStyle w:val="Odrka1"/>
        <w:jc w:val="both"/>
      </w:pPr>
      <w:r>
        <w:t>Omezený rozsah trhu v</w:t>
      </w:r>
      <w:r w:rsidR="00546698">
        <w:t> </w:t>
      </w:r>
      <w:r>
        <w:t>ČR, kdy se sofistikovanější nastavení zatím nevyplatí.</w:t>
      </w:r>
    </w:p>
    <w:p w14:paraId="28C35EEB" w14:textId="77777777" w:rsidR="001B4719" w:rsidRDefault="001B4719" w:rsidP="001B4719">
      <w:pPr>
        <w:pStyle w:val="Odrka1"/>
        <w:jc w:val="both"/>
      </w:pPr>
      <w:r>
        <w:t>Odlišná podoba produktů různých hráčů na trhu</w:t>
      </w:r>
    </w:p>
    <w:p w14:paraId="6A1D388E" w14:textId="77777777" w:rsidR="001B4719" w:rsidRDefault="001B4719" w:rsidP="001B4719">
      <w:pPr>
        <w:jc w:val="both"/>
      </w:pPr>
      <w:r>
        <w:t>Roaming ve smyslu jednotného přístupu k</w:t>
      </w:r>
      <w:r w:rsidR="00546698">
        <w:t> </w:t>
      </w:r>
      <w:r>
        <w:t xml:space="preserve">dobíjecí infrastruktuře více provozovatelů je ve vybraných případech zajišťován pomocí nadstavbových platforem (např. </w:t>
      </w:r>
      <w:r w:rsidRPr="002725B2">
        <w:t>Hubject, Giraffe</w:t>
      </w:r>
      <w:r>
        <w:t>), které sdružují sítě více provozovatelů, nebo je založen na bilaterálních dohodách provozovatelů.</w:t>
      </w:r>
    </w:p>
    <w:p w14:paraId="7E0FA1F5" w14:textId="77777777" w:rsidR="001B4719" w:rsidRDefault="001B4719" w:rsidP="001B4719">
      <w:pPr>
        <w:jc w:val="both"/>
      </w:pPr>
      <w:r>
        <w:t>Z hlediska legislativního je připojení dobíjecích stanic na distribuční soustavu (ať už na hladině NN nebo VN) ošetřeno Energetickým zákonem, kdy dobíjecí stanice se chová jako spotřebič specifického typu (tj. není součástí distribuční soustavy) a</w:t>
      </w:r>
      <w:r w:rsidR="00546698">
        <w:t> </w:t>
      </w:r>
      <w:r>
        <w:t>její provozovatel musí splnit podmínky a</w:t>
      </w:r>
      <w:r w:rsidR="00546698">
        <w:t> </w:t>
      </w:r>
      <w:r>
        <w:t>požadavky definované místně příslušným provozovatelem distribuční soustavy. Samotný provoz dobíjecí stanice je regulován Zákonem č. 311/2006 Sb. o</w:t>
      </w:r>
      <w:r w:rsidR="00546698">
        <w:t> </w:t>
      </w:r>
      <w:r>
        <w:t>pohonných hmotách. Dodávka elektřiny do elektrického vozidla není dodávkou elektřiny ve smyslu Energetického zákona.</w:t>
      </w:r>
    </w:p>
    <w:p w14:paraId="38C5364E" w14:textId="77777777" w:rsidR="001B4719" w:rsidRPr="000C6828" w:rsidRDefault="001B4719" w:rsidP="001B4719">
      <w:pPr>
        <w:jc w:val="both"/>
        <w:rPr>
          <w:u w:val="single"/>
        </w:rPr>
      </w:pPr>
      <w:r w:rsidRPr="000C6828">
        <w:rPr>
          <w:u w:val="single"/>
        </w:rPr>
        <w:lastRenderedPageBreak/>
        <w:t>Očekávané trendy do roku 2030</w:t>
      </w:r>
    </w:p>
    <w:p w14:paraId="00C12362" w14:textId="77777777" w:rsidR="001B4719" w:rsidRDefault="001B4719" w:rsidP="001B4719">
      <w:pPr>
        <w:jc w:val="both"/>
      </w:pPr>
      <w:r>
        <w:t>S postupným zvyšováním počtu elektromobilů v</w:t>
      </w:r>
      <w:r w:rsidR="00546698">
        <w:t> </w:t>
      </w:r>
      <w:r>
        <w:t>ulicích a</w:t>
      </w:r>
      <w:r w:rsidR="00546698">
        <w:t> </w:t>
      </w:r>
      <w:r>
        <w:t>postupné komercionalizaci provozu dobíjecí infrastruktury lze očekávat vyšší tlak na snadnost přístupu k</w:t>
      </w:r>
      <w:r w:rsidR="00546698">
        <w:t> </w:t>
      </w:r>
      <w:r>
        <w:t>dobíjení, a</w:t>
      </w:r>
      <w:r w:rsidR="00546698">
        <w:t> </w:t>
      </w:r>
      <w:r>
        <w:t>zajištění spravedlivého konkurenčního prostředí vytvoření podmínek pro další rozvoj elektromobility založený na tržních principech. Hlavní trendy rozvoje jsou:</w:t>
      </w:r>
    </w:p>
    <w:p w14:paraId="0C77204D" w14:textId="77777777" w:rsidR="001B4719" w:rsidRDefault="001B4719" w:rsidP="001B4719">
      <w:pPr>
        <w:pStyle w:val="Odrka1"/>
        <w:jc w:val="both"/>
      </w:pPr>
      <w:r>
        <w:t>Postupné oddělení rolí CPO a</w:t>
      </w:r>
      <w:r w:rsidR="00546698">
        <w:t> </w:t>
      </w:r>
      <w:r>
        <w:t>EMP</w:t>
      </w:r>
      <w:r w:rsidRPr="002235A0">
        <w:t xml:space="preserve"> a</w:t>
      </w:r>
      <w:r w:rsidR="00546698">
        <w:t> </w:t>
      </w:r>
      <w:r w:rsidRPr="002235A0">
        <w:t>rozvoj roamingu (propojení CPO</w:t>
      </w:r>
      <w:r>
        <w:t xml:space="preserve"> s</w:t>
      </w:r>
      <w:r w:rsidR="00546698">
        <w:t> </w:t>
      </w:r>
      <w:r>
        <w:t>více EMP)</w:t>
      </w:r>
      <w:r w:rsidRPr="002235A0">
        <w:t>, viz schéma níže.</w:t>
      </w:r>
      <w:r>
        <w:t xml:space="preserve"> </w:t>
      </w:r>
    </w:p>
    <w:p w14:paraId="511ED834" w14:textId="77777777" w:rsidR="001B4719" w:rsidRDefault="001B4719" w:rsidP="001B4719">
      <w:pPr>
        <w:pStyle w:val="Odrka1"/>
        <w:jc w:val="both"/>
      </w:pPr>
      <w:r>
        <w:t>Narovnání cen dobíjení, aby odpovídaly skutečným nákladům. Propojení CPO s</w:t>
      </w:r>
      <w:r w:rsidR="00546698">
        <w:t> </w:t>
      </w:r>
      <w:r>
        <w:t>více EMP bude základem pro roaming služby dobíjení.</w:t>
      </w:r>
    </w:p>
    <w:p w14:paraId="27592B01" w14:textId="77777777" w:rsidR="001B4719" w:rsidRDefault="001B4719" w:rsidP="001B4719">
      <w:pPr>
        <w:pStyle w:val="Odrka1"/>
        <w:jc w:val="both"/>
      </w:pPr>
      <w:r>
        <w:t>Rozšíření počtu subjektů v</w:t>
      </w:r>
      <w:r w:rsidR="00546698">
        <w:t> </w:t>
      </w:r>
      <w:r>
        <w:t>roli EMP</w:t>
      </w:r>
    </w:p>
    <w:p w14:paraId="22D39AEF" w14:textId="77777777" w:rsidR="00EF3C02" w:rsidRPr="00EF3C02" w:rsidRDefault="00EF3C02" w:rsidP="00EF3C02"/>
    <w:p w14:paraId="2AEB86F0" w14:textId="77777777" w:rsidR="00EF3C02" w:rsidRDefault="00EF3C02" w:rsidP="00EF3C02">
      <w:pPr>
        <w:pStyle w:val="Titulek"/>
        <w:keepNext/>
        <w:jc w:val="both"/>
      </w:pPr>
      <w:bookmarkStart w:id="215" w:name="_Toc25230411"/>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4</w:t>
      </w:r>
      <w:r w:rsidR="001614BC">
        <w:rPr>
          <w:noProof/>
        </w:rPr>
        <w:fldChar w:fldCharType="end"/>
      </w:r>
      <w:r w:rsidRPr="00EF3C02">
        <w:t xml:space="preserve"> </w:t>
      </w:r>
      <w:r>
        <w:t>Schéma model dobíjení s</w:t>
      </w:r>
      <w:r w:rsidR="00546698">
        <w:t> </w:t>
      </w:r>
      <w:r>
        <w:t>více nezávislými EMP</w:t>
      </w:r>
      <w:bookmarkEnd w:id="215"/>
    </w:p>
    <w:p w14:paraId="28A45CF0" w14:textId="77777777" w:rsidR="001B4719" w:rsidRDefault="001B4719" w:rsidP="001B4719">
      <w:pPr>
        <w:jc w:val="both"/>
      </w:pPr>
      <w:r>
        <w:rPr>
          <w:noProof/>
        </w:rPr>
        <w:drawing>
          <wp:inline distT="0" distB="0" distL="0" distR="0" wp14:anchorId="3BBCD3D3" wp14:editId="56171DD8">
            <wp:extent cx="5478780" cy="1605474"/>
            <wp:effectExtent l="0" t="0" r="762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8780" cy="1605474"/>
                    </a:xfrm>
                    <a:prstGeom prst="rect">
                      <a:avLst/>
                    </a:prstGeom>
                    <a:noFill/>
                  </pic:spPr>
                </pic:pic>
              </a:graphicData>
            </a:graphic>
          </wp:inline>
        </w:drawing>
      </w:r>
    </w:p>
    <w:p w14:paraId="448E1C0F" w14:textId="77777777" w:rsidR="001B4719" w:rsidRDefault="001B4719" w:rsidP="001B4719">
      <w:pPr>
        <w:pStyle w:val="Odrka1"/>
        <w:jc w:val="both"/>
      </w:pPr>
      <w:r>
        <w:t>Rozvoj sofistikovanějších a</w:t>
      </w:r>
      <w:r w:rsidR="00546698">
        <w:t> </w:t>
      </w:r>
      <w:r>
        <w:t xml:space="preserve">strukturovaných produktů dobíjení </w:t>
      </w:r>
    </w:p>
    <w:p w14:paraId="1AD7401F" w14:textId="77777777" w:rsidR="001B4719" w:rsidRDefault="001B4719" w:rsidP="001B4719">
      <w:pPr>
        <w:pStyle w:val="Odrka1"/>
        <w:jc w:val="both"/>
      </w:pPr>
      <w:r>
        <w:t>Nové formy autorizace a</w:t>
      </w:r>
      <w:r w:rsidR="00546698">
        <w:t> </w:t>
      </w:r>
      <w:r>
        <w:t>identifikace (mobilní aplikace, přímá komunikace vozidla a</w:t>
      </w:r>
      <w:r w:rsidR="00546698">
        <w:t> </w:t>
      </w:r>
      <w:r>
        <w:t>dobíjecí stanice).</w:t>
      </w:r>
    </w:p>
    <w:p w14:paraId="4EC3A27A" w14:textId="77777777" w:rsidR="001B4719" w:rsidRDefault="001B4719" w:rsidP="001B4719">
      <w:pPr>
        <w:pStyle w:val="Odrka1"/>
        <w:jc w:val="both"/>
      </w:pPr>
      <w:r>
        <w:t>Sdílení dat na národní i</w:t>
      </w:r>
      <w:r w:rsidR="00546698">
        <w:t> </w:t>
      </w:r>
      <w:r>
        <w:t>mezinárodní úrovni.</w:t>
      </w:r>
    </w:p>
    <w:p w14:paraId="423D0B85" w14:textId="77777777" w:rsidR="001B4719" w:rsidRPr="000C6828" w:rsidRDefault="001B4719" w:rsidP="001B4719">
      <w:pPr>
        <w:jc w:val="both"/>
        <w:rPr>
          <w:u w:val="single"/>
        </w:rPr>
      </w:pPr>
      <w:r w:rsidRPr="000C6828">
        <w:rPr>
          <w:u w:val="single"/>
        </w:rPr>
        <w:t>Typy lokalit veřejné dobíjecí infrastruktury</w:t>
      </w:r>
    </w:p>
    <w:p w14:paraId="3AEFC80E" w14:textId="77777777" w:rsidR="001B4719" w:rsidRDefault="001B4719" w:rsidP="001B4719">
      <w:pPr>
        <w:jc w:val="both"/>
      </w:pPr>
      <w:r>
        <w:t>Z hlediska kategorizace lokalit pro veřejné dobíjecí stanice lze rozlišit následující tři základní typy:</w:t>
      </w:r>
    </w:p>
    <w:p w14:paraId="1BDA99A7" w14:textId="77777777" w:rsidR="001B4719" w:rsidRDefault="001B4719" w:rsidP="001B4719">
      <w:pPr>
        <w:pStyle w:val="Odrka1"/>
        <w:jc w:val="both"/>
      </w:pPr>
      <w:r w:rsidRPr="000F29B8">
        <w:rPr>
          <w:b/>
        </w:rPr>
        <w:t>„Parkoviště“</w:t>
      </w:r>
      <w:r>
        <w:t xml:space="preserve"> – místa dlouhodobého stání v</w:t>
      </w:r>
      <w:r w:rsidR="00546698">
        <w:t> </w:t>
      </w:r>
      <w:r>
        <w:t xml:space="preserve">řádu mnoha hodin (typicky dlouhodobá stání přes den nebo přes noc, </w:t>
      </w:r>
      <w:r w:rsidRPr="00506C0C">
        <w:t>vybavená stanicemi s</w:t>
      </w:r>
      <w:r w:rsidR="00546698">
        <w:t> </w:t>
      </w:r>
      <w:r w:rsidRPr="00506C0C">
        <w:t>nižšími výkony (klíčový bude počet bodů, nikoliv výkon</w:t>
      </w:r>
      <w:r>
        <w:t xml:space="preserve">). </w:t>
      </w:r>
    </w:p>
    <w:p w14:paraId="2C4569F8" w14:textId="77777777" w:rsidR="001B4719" w:rsidRDefault="001B4719" w:rsidP="001B4719">
      <w:pPr>
        <w:pStyle w:val="Odrka1"/>
        <w:jc w:val="both"/>
      </w:pPr>
      <w:r w:rsidRPr="000F29B8">
        <w:rPr>
          <w:b/>
        </w:rPr>
        <w:t>„Body zájmu“</w:t>
      </w:r>
      <w:r>
        <w:t xml:space="preserve"> – jedná se o</w:t>
      </w:r>
      <w:r w:rsidR="00546698">
        <w:t> </w:t>
      </w:r>
      <w:r>
        <w:t>lokality, kde provozovatelé tráví čas v</w:t>
      </w:r>
      <w:r w:rsidR="00546698">
        <w:t> </w:t>
      </w:r>
      <w:r>
        <w:t xml:space="preserve">rozpětí hodiny až několika málo hodin (typicky nákupní centra, restaurace, kina apod., </w:t>
      </w:r>
      <w:r w:rsidRPr="00506C0C">
        <w:t>vybavené výkonnějšími typy stanic odpovídajícími typické délce parkování</w:t>
      </w:r>
      <w:r>
        <w:t xml:space="preserve">). </w:t>
      </w:r>
    </w:p>
    <w:p w14:paraId="7DFF21D0" w14:textId="77777777" w:rsidR="001B4719" w:rsidRDefault="001B4719" w:rsidP="001B4719">
      <w:pPr>
        <w:pStyle w:val="Odrka1"/>
        <w:jc w:val="both"/>
      </w:pPr>
      <w:r w:rsidRPr="000F29B8">
        <w:rPr>
          <w:b/>
        </w:rPr>
        <w:t>„Tranzit“</w:t>
      </w:r>
      <w:r>
        <w:t xml:space="preserve"> – lokalita určená primárně k</w:t>
      </w:r>
      <w:r w:rsidR="00546698">
        <w:t> </w:t>
      </w:r>
      <w:r>
        <w:t xml:space="preserve">co nejrychlejšímu dobíjení </w:t>
      </w:r>
      <w:r w:rsidRPr="00506C0C">
        <w:t>(nejvýkonnější typy stanic).</w:t>
      </w:r>
      <w:r>
        <w:t xml:space="preserve"> </w:t>
      </w:r>
    </w:p>
    <w:p w14:paraId="3FC116C8" w14:textId="77777777" w:rsidR="00EF3C02" w:rsidRPr="00EF3C02" w:rsidRDefault="001B4719" w:rsidP="00EF3C02">
      <w:pPr>
        <w:jc w:val="both"/>
      </w:pPr>
      <w:r>
        <w:t>Srovnání jednotlivých kategorií je uvedeno v</w:t>
      </w:r>
      <w:r w:rsidR="00546698">
        <w:t> </w:t>
      </w:r>
      <w:r>
        <w:t>následující tabulce.</w:t>
      </w:r>
    </w:p>
    <w:p w14:paraId="6D93D7FC" w14:textId="77777777" w:rsidR="00EF3C02" w:rsidRDefault="00EF3C02" w:rsidP="00EF3C02">
      <w:pPr>
        <w:pStyle w:val="Titulek"/>
        <w:keepNext/>
      </w:pPr>
      <w:bookmarkStart w:id="216" w:name="_Toc34295867"/>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8</w:t>
      </w:r>
      <w:r w:rsidR="001614BC">
        <w:rPr>
          <w:noProof/>
        </w:rPr>
        <w:fldChar w:fldCharType="end"/>
      </w:r>
      <w:r w:rsidRPr="00EF3C02">
        <w:t xml:space="preserve"> </w:t>
      </w:r>
      <w:r>
        <w:t>Srovnání kategorií lokalit</w:t>
      </w:r>
      <w:bookmarkEnd w:id="216"/>
    </w:p>
    <w:tbl>
      <w:tblPr>
        <w:tblW w:w="486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678"/>
        <w:gridCol w:w="2048"/>
        <w:gridCol w:w="2048"/>
        <w:gridCol w:w="2567"/>
      </w:tblGrid>
      <w:tr w:rsidR="001B4719" w:rsidRPr="001A3B75" w14:paraId="202E01A1" w14:textId="77777777" w:rsidTr="007533BD">
        <w:trPr>
          <w:tblHeader/>
        </w:trPr>
        <w:tc>
          <w:tcPr>
            <w:tcW w:w="1434" w:type="pct"/>
            <w:shd w:val="clear" w:color="auto" w:fill="548DD4"/>
            <w:vAlign w:val="center"/>
          </w:tcPr>
          <w:p w14:paraId="5BD1DCE0" w14:textId="77777777" w:rsidR="001B4719" w:rsidRPr="00C42747" w:rsidRDefault="001B4719" w:rsidP="000050AA">
            <w:pPr>
              <w:spacing w:before="60" w:after="60"/>
              <w:jc w:val="both"/>
              <w:rPr>
                <w:b/>
                <w:color w:val="FFFFFF" w:themeColor="background1"/>
              </w:rPr>
            </w:pPr>
          </w:p>
        </w:tc>
        <w:tc>
          <w:tcPr>
            <w:tcW w:w="1096" w:type="pct"/>
            <w:shd w:val="clear" w:color="auto" w:fill="548DD4"/>
            <w:vAlign w:val="center"/>
          </w:tcPr>
          <w:p w14:paraId="1D1360CF" w14:textId="77777777" w:rsidR="001B4719" w:rsidRPr="00C42747" w:rsidRDefault="001B4719" w:rsidP="007533BD">
            <w:pPr>
              <w:spacing w:before="60" w:after="60"/>
              <w:jc w:val="center"/>
              <w:rPr>
                <w:b/>
                <w:color w:val="FFFFFF" w:themeColor="background1"/>
              </w:rPr>
            </w:pPr>
            <w:r>
              <w:rPr>
                <w:b/>
                <w:color w:val="FFFFFF" w:themeColor="background1"/>
              </w:rPr>
              <w:t>„Parkoviště“</w:t>
            </w:r>
          </w:p>
        </w:tc>
        <w:tc>
          <w:tcPr>
            <w:tcW w:w="1096" w:type="pct"/>
            <w:shd w:val="clear" w:color="auto" w:fill="548DD4"/>
            <w:vAlign w:val="center"/>
          </w:tcPr>
          <w:p w14:paraId="0B759A1A" w14:textId="77777777" w:rsidR="001B4719" w:rsidRPr="00C42747" w:rsidRDefault="001B4719" w:rsidP="007533BD">
            <w:pPr>
              <w:spacing w:before="60" w:after="60"/>
              <w:jc w:val="center"/>
              <w:rPr>
                <w:b/>
                <w:color w:val="FFFFFF" w:themeColor="background1"/>
              </w:rPr>
            </w:pPr>
            <w:r>
              <w:rPr>
                <w:b/>
                <w:color w:val="FFFFFF" w:themeColor="background1"/>
              </w:rPr>
              <w:t>„Bod zájmu“</w:t>
            </w:r>
          </w:p>
        </w:tc>
        <w:tc>
          <w:tcPr>
            <w:tcW w:w="1374" w:type="pct"/>
            <w:shd w:val="clear" w:color="auto" w:fill="548DD4"/>
          </w:tcPr>
          <w:p w14:paraId="39A59410" w14:textId="77777777" w:rsidR="001B4719" w:rsidRPr="00C42747" w:rsidRDefault="001B4719" w:rsidP="007533BD">
            <w:pPr>
              <w:spacing w:before="60" w:after="60"/>
              <w:jc w:val="center"/>
              <w:rPr>
                <w:b/>
                <w:color w:val="FFFFFF" w:themeColor="background1"/>
              </w:rPr>
            </w:pPr>
            <w:r>
              <w:rPr>
                <w:b/>
                <w:color w:val="FFFFFF" w:themeColor="background1"/>
              </w:rPr>
              <w:t>„Tranzit“</w:t>
            </w:r>
          </w:p>
        </w:tc>
      </w:tr>
      <w:tr w:rsidR="001B4719" w:rsidRPr="001A3B75" w14:paraId="325FCC02" w14:textId="77777777" w:rsidTr="007533BD">
        <w:tc>
          <w:tcPr>
            <w:tcW w:w="1434" w:type="pct"/>
            <w:vAlign w:val="center"/>
          </w:tcPr>
          <w:p w14:paraId="200152D5" w14:textId="77777777" w:rsidR="001B4719" w:rsidRPr="001A3B75" w:rsidRDefault="001B4719" w:rsidP="000050AA">
            <w:pPr>
              <w:spacing w:before="60" w:after="60"/>
              <w:jc w:val="both"/>
            </w:pPr>
            <w:r>
              <w:t>Typický příklad</w:t>
            </w:r>
          </w:p>
        </w:tc>
        <w:tc>
          <w:tcPr>
            <w:tcW w:w="1096" w:type="pct"/>
            <w:vAlign w:val="center"/>
          </w:tcPr>
          <w:p w14:paraId="6DD38AF2" w14:textId="77777777" w:rsidR="001B4719" w:rsidRPr="001A3B75" w:rsidRDefault="001B4719" w:rsidP="007533BD">
            <w:pPr>
              <w:spacing w:before="60" w:after="60"/>
              <w:jc w:val="center"/>
            </w:pPr>
            <w:r>
              <w:t>Parkoviště „P+R“</w:t>
            </w:r>
          </w:p>
        </w:tc>
        <w:tc>
          <w:tcPr>
            <w:tcW w:w="1096" w:type="pct"/>
            <w:vAlign w:val="center"/>
          </w:tcPr>
          <w:p w14:paraId="67865063" w14:textId="77777777" w:rsidR="001B4719" w:rsidRPr="001A3B75" w:rsidRDefault="001B4719" w:rsidP="007533BD">
            <w:pPr>
              <w:spacing w:before="60" w:after="60"/>
              <w:jc w:val="center"/>
            </w:pPr>
            <w:r>
              <w:t>Obchodní centrum</w:t>
            </w:r>
          </w:p>
        </w:tc>
        <w:tc>
          <w:tcPr>
            <w:tcW w:w="1374" w:type="pct"/>
            <w:vAlign w:val="center"/>
          </w:tcPr>
          <w:p w14:paraId="26C6C427" w14:textId="77777777" w:rsidR="001B4719" w:rsidRPr="001A3B75" w:rsidRDefault="001B4719" w:rsidP="007533BD">
            <w:pPr>
              <w:spacing w:before="60" w:after="60"/>
              <w:jc w:val="center"/>
            </w:pPr>
            <w:r>
              <w:t>Dálniční odpočívka</w:t>
            </w:r>
          </w:p>
        </w:tc>
      </w:tr>
      <w:tr w:rsidR="001B4719" w:rsidRPr="001A3B75" w14:paraId="21CCAC53" w14:textId="77777777" w:rsidTr="007533BD">
        <w:tc>
          <w:tcPr>
            <w:tcW w:w="1434" w:type="pct"/>
            <w:vAlign w:val="center"/>
          </w:tcPr>
          <w:p w14:paraId="20223947" w14:textId="77777777" w:rsidR="001B4719" w:rsidRPr="001A3B75" w:rsidRDefault="001B4719" w:rsidP="000050AA">
            <w:pPr>
              <w:spacing w:before="60" w:after="60"/>
              <w:jc w:val="both"/>
            </w:pPr>
            <w:r>
              <w:t>Odpovídající čas dobíjení</w:t>
            </w:r>
          </w:p>
        </w:tc>
        <w:tc>
          <w:tcPr>
            <w:tcW w:w="1096" w:type="pct"/>
            <w:vAlign w:val="center"/>
          </w:tcPr>
          <w:p w14:paraId="5BFC1662" w14:textId="77777777" w:rsidR="001B4719" w:rsidRPr="001A3B75" w:rsidRDefault="001B4719" w:rsidP="007533BD">
            <w:pPr>
              <w:spacing w:before="60" w:after="60"/>
              <w:jc w:val="center"/>
            </w:pPr>
            <w:r>
              <w:t>8-10 hodin</w:t>
            </w:r>
          </w:p>
        </w:tc>
        <w:tc>
          <w:tcPr>
            <w:tcW w:w="1096" w:type="pct"/>
            <w:vAlign w:val="center"/>
          </w:tcPr>
          <w:p w14:paraId="70F39347" w14:textId="77777777" w:rsidR="001B4719" w:rsidRPr="001A3B75" w:rsidRDefault="001B4719" w:rsidP="007533BD">
            <w:pPr>
              <w:spacing w:before="60" w:after="60"/>
              <w:jc w:val="center"/>
            </w:pPr>
            <w:r>
              <w:t>2-3 hodiny</w:t>
            </w:r>
          </w:p>
        </w:tc>
        <w:tc>
          <w:tcPr>
            <w:tcW w:w="1374" w:type="pct"/>
            <w:vAlign w:val="center"/>
          </w:tcPr>
          <w:p w14:paraId="4B65F74A" w14:textId="77777777" w:rsidR="001B4719" w:rsidRPr="001A3B75" w:rsidRDefault="001B4719" w:rsidP="007533BD">
            <w:pPr>
              <w:spacing w:before="60" w:after="60"/>
              <w:jc w:val="center"/>
            </w:pPr>
            <w:r>
              <w:t>30-60 minut</w:t>
            </w:r>
          </w:p>
        </w:tc>
      </w:tr>
      <w:tr w:rsidR="001B4719" w:rsidRPr="001A3B75" w14:paraId="69E2E286" w14:textId="77777777" w:rsidTr="007533BD">
        <w:tc>
          <w:tcPr>
            <w:tcW w:w="1434" w:type="pct"/>
            <w:vAlign w:val="center"/>
          </w:tcPr>
          <w:p w14:paraId="43FBA8D8" w14:textId="77777777" w:rsidR="001B4719" w:rsidRDefault="001B4719" w:rsidP="000050AA">
            <w:pPr>
              <w:spacing w:before="60" w:after="60"/>
              <w:jc w:val="both"/>
            </w:pPr>
            <w:r>
              <w:t>Výkon dobíjecího bodu</w:t>
            </w:r>
          </w:p>
        </w:tc>
        <w:tc>
          <w:tcPr>
            <w:tcW w:w="1096" w:type="pct"/>
            <w:vAlign w:val="center"/>
          </w:tcPr>
          <w:p w14:paraId="28894541" w14:textId="77777777" w:rsidR="001B4719" w:rsidRDefault="001B4719" w:rsidP="007533BD">
            <w:pPr>
              <w:spacing w:before="60" w:after="60"/>
              <w:jc w:val="center"/>
            </w:pPr>
            <w:r>
              <w:t>7-11 kW</w:t>
            </w:r>
          </w:p>
        </w:tc>
        <w:tc>
          <w:tcPr>
            <w:tcW w:w="1096" w:type="pct"/>
            <w:vAlign w:val="center"/>
          </w:tcPr>
          <w:p w14:paraId="35329FD6" w14:textId="77777777" w:rsidR="001B4719" w:rsidRDefault="001B4719" w:rsidP="007533BD">
            <w:pPr>
              <w:spacing w:before="60" w:after="60"/>
              <w:jc w:val="center"/>
            </w:pPr>
            <w:r>
              <w:t>22-50 kW</w:t>
            </w:r>
          </w:p>
        </w:tc>
        <w:tc>
          <w:tcPr>
            <w:tcW w:w="1374" w:type="pct"/>
            <w:vAlign w:val="center"/>
          </w:tcPr>
          <w:p w14:paraId="722AAAAF" w14:textId="42B06B32" w:rsidR="001B4719" w:rsidRDefault="001B4719" w:rsidP="007533BD">
            <w:pPr>
              <w:spacing w:before="60" w:after="60"/>
              <w:jc w:val="center"/>
            </w:pPr>
            <w:r>
              <w:t>100-150+ kW (350 kW)</w:t>
            </w:r>
            <w:r w:rsidR="000D6551">
              <w:rPr>
                <w:rFonts w:cs="Arial"/>
              </w:rPr>
              <w:t>*</w:t>
            </w:r>
          </w:p>
        </w:tc>
      </w:tr>
      <w:tr w:rsidR="001B4719" w:rsidRPr="001A3B75" w14:paraId="7C4ACB80" w14:textId="77777777" w:rsidTr="007533BD">
        <w:tc>
          <w:tcPr>
            <w:tcW w:w="1434" w:type="pct"/>
            <w:vAlign w:val="center"/>
          </w:tcPr>
          <w:p w14:paraId="40191EB3" w14:textId="77777777" w:rsidR="001B4719" w:rsidRPr="001A3B75" w:rsidRDefault="001B4719" w:rsidP="000050AA">
            <w:pPr>
              <w:spacing w:before="60" w:after="60"/>
              <w:jc w:val="both"/>
            </w:pPr>
            <w:r>
              <w:lastRenderedPageBreak/>
              <w:t>Typické připojení</w:t>
            </w:r>
          </w:p>
        </w:tc>
        <w:tc>
          <w:tcPr>
            <w:tcW w:w="1096" w:type="pct"/>
            <w:vAlign w:val="center"/>
          </w:tcPr>
          <w:p w14:paraId="1EBB81B6" w14:textId="77777777" w:rsidR="001B4719" w:rsidRPr="001A3B75" w:rsidRDefault="001B4719" w:rsidP="007533BD">
            <w:pPr>
              <w:spacing w:before="60" w:after="60"/>
              <w:jc w:val="center"/>
            </w:pPr>
            <w:r>
              <w:t>NN</w:t>
            </w:r>
          </w:p>
        </w:tc>
        <w:tc>
          <w:tcPr>
            <w:tcW w:w="1096" w:type="pct"/>
            <w:vAlign w:val="center"/>
          </w:tcPr>
          <w:p w14:paraId="1A6BDDF0" w14:textId="77777777" w:rsidR="001B4719" w:rsidRPr="001A3B75" w:rsidRDefault="001B4719" w:rsidP="007533BD">
            <w:pPr>
              <w:spacing w:before="60" w:after="60"/>
              <w:jc w:val="center"/>
            </w:pPr>
            <w:r>
              <w:t>LDS, NN, VN</w:t>
            </w:r>
          </w:p>
        </w:tc>
        <w:tc>
          <w:tcPr>
            <w:tcW w:w="1374" w:type="pct"/>
            <w:vAlign w:val="center"/>
          </w:tcPr>
          <w:p w14:paraId="372E0A38" w14:textId="77777777" w:rsidR="001B4719" w:rsidRPr="001A3B75" w:rsidRDefault="001B4719" w:rsidP="007533BD">
            <w:pPr>
              <w:spacing w:before="60" w:after="60"/>
              <w:jc w:val="center"/>
            </w:pPr>
            <w:r>
              <w:t>VN</w:t>
            </w:r>
          </w:p>
        </w:tc>
      </w:tr>
    </w:tbl>
    <w:p w14:paraId="050D4791" w14:textId="2B52F145" w:rsidR="000D6551" w:rsidRPr="00276F69" w:rsidRDefault="000D6551" w:rsidP="00276F69">
      <w:pPr>
        <w:pStyle w:val="Bullet1"/>
        <w:numPr>
          <w:ilvl w:val="0"/>
          <w:numId w:val="0"/>
        </w:numPr>
        <w:ind w:left="567"/>
        <w:rPr>
          <w:sz w:val="18"/>
          <w:szCs w:val="18"/>
        </w:rPr>
      </w:pPr>
      <w:r>
        <w:rPr>
          <w:rFonts w:cs="Arial"/>
          <w:sz w:val="18"/>
          <w:szCs w:val="18"/>
        </w:rPr>
        <w:t>*</w:t>
      </w:r>
      <w:r w:rsidRPr="00276F69">
        <w:rPr>
          <w:sz w:val="18"/>
          <w:szCs w:val="18"/>
        </w:rPr>
        <w:t>případně více dle vývoje technologií</w:t>
      </w:r>
    </w:p>
    <w:p w14:paraId="5C6DE070" w14:textId="77777777" w:rsidR="001B4719" w:rsidRDefault="001B4719" w:rsidP="001B4719">
      <w:pPr>
        <w:jc w:val="both"/>
      </w:pPr>
      <w:r>
        <w:t>Z praktického hlediska je třeba vzít v</w:t>
      </w:r>
      <w:r w:rsidR="00546698">
        <w:t> </w:t>
      </w:r>
      <w:r>
        <w:t>potaz následující skutečnosti:</w:t>
      </w:r>
    </w:p>
    <w:p w14:paraId="7E481B19" w14:textId="77777777" w:rsidR="001B4719" w:rsidRDefault="001B4719" w:rsidP="001B4719">
      <w:pPr>
        <w:pStyle w:val="Odrka1"/>
        <w:jc w:val="both"/>
      </w:pPr>
      <w:r>
        <w:t>Zatímco v</w:t>
      </w:r>
      <w:r w:rsidR="00546698">
        <w:t> </w:t>
      </w:r>
      <w:r>
        <w:t>případě lokalit „Tranzit“ lze očekávat, že elektromobilisté budou dobíjet ve chvíli výrazného poklesu dojezdu (budou dobíjet ve chvíli, kdy to skutečně potřebují, velké vybití akumulátoru zároveň znamená optimální využití času, kdy dobíjení probíhá vyššími výkony), v</w:t>
      </w:r>
      <w:r w:rsidR="00546698">
        <w:t> </w:t>
      </w:r>
      <w:r>
        <w:t>případě zbývajících dvou lokalit nemusí dobíjení nutně probíhat v</w:t>
      </w:r>
      <w:r w:rsidR="00546698">
        <w:t> </w:t>
      </w:r>
      <w:r>
        <w:t>rozmezí 0</w:t>
      </w:r>
      <w:r w:rsidR="002725B2">
        <w:t xml:space="preserve"> </w:t>
      </w:r>
      <w:r>
        <w:t>-</w:t>
      </w:r>
      <w:r w:rsidR="002725B2">
        <w:t xml:space="preserve"> </w:t>
      </w:r>
      <w:r>
        <w:t>80% (0</w:t>
      </w:r>
      <w:r w:rsidR="002725B2">
        <w:t> </w:t>
      </w:r>
      <w:r>
        <w:t>-</w:t>
      </w:r>
      <w:r w:rsidR="002725B2">
        <w:t> </w:t>
      </w:r>
      <w:r>
        <w:t>100</w:t>
      </w:r>
      <w:r w:rsidR="002725B2">
        <w:t> </w:t>
      </w:r>
      <w:r>
        <w:t>%).</w:t>
      </w:r>
    </w:p>
    <w:p w14:paraId="2F449C4C" w14:textId="77777777" w:rsidR="001B4719" w:rsidRDefault="001B4719" w:rsidP="001B4719">
      <w:pPr>
        <w:pStyle w:val="Odrka1"/>
        <w:jc w:val="both"/>
      </w:pPr>
      <w:r>
        <w:t>V případě veřejného dobíjení se předpokládá, že bude pokrývat menší podíl potřeby dobíjení (zpravidla se hovoří o</w:t>
      </w:r>
      <w:r w:rsidR="00546698">
        <w:t> </w:t>
      </w:r>
      <w:r>
        <w:t>rozsahu 10</w:t>
      </w:r>
      <w:r w:rsidR="002725B2">
        <w:t xml:space="preserve"> – </w:t>
      </w:r>
      <w:r>
        <w:t>20</w:t>
      </w:r>
      <w:r w:rsidR="002725B2">
        <w:t xml:space="preserve"> </w:t>
      </w:r>
      <w:r>
        <w:t>%), větší část bude i</w:t>
      </w:r>
      <w:r w:rsidR="00546698">
        <w:t> </w:t>
      </w:r>
      <w:r>
        <w:t>nadále probíhat neveřejně (doma, v</w:t>
      </w:r>
      <w:r w:rsidR="00546698">
        <w:t> </w:t>
      </w:r>
      <w:r>
        <w:t>zaměstnání).</w:t>
      </w:r>
    </w:p>
    <w:p w14:paraId="762CE028" w14:textId="77777777" w:rsidR="001B4719" w:rsidRDefault="001B4719" w:rsidP="001B4719">
      <w:pPr>
        <w:pStyle w:val="Odrka1"/>
        <w:jc w:val="both"/>
      </w:pPr>
      <w:r>
        <w:t>Rozdělení lokalit do kategorií je ilustrativní, kategorie se mohou vzájemně prolínat.</w:t>
      </w:r>
    </w:p>
    <w:p w14:paraId="32A0427D" w14:textId="77777777" w:rsidR="001B4719" w:rsidRPr="000C6828" w:rsidRDefault="001B4719" w:rsidP="001B4719">
      <w:pPr>
        <w:jc w:val="both"/>
        <w:rPr>
          <w:u w:val="single"/>
        </w:rPr>
      </w:pPr>
      <w:r w:rsidRPr="000C6828">
        <w:rPr>
          <w:u w:val="single"/>
        </w:rPr>
        <w:t>Fáze rozvoje dobíjecí infrastruktury</w:t>
      </w:r>
    </w:p>
    <w:p w14:paraId="492374E0" w14:textId="77777777" w:rsidR="001B4719" w:rsidRDefault="001B4719" w:rsidP="001B4719">
      <w:pPr>
        <w:jc w:val="both"/>
      </w:pPr>
      <w:r>
        <w:t>Při výstavbě dobíjecích stanic lze uvažovat určité fáze rozvoje trhu (přechody mezi fázemi nejsou ostře ohraničené):</w:t>
      </w:r>
    </w:p>
    <w:p w14:paraId="70478971" w14:textId="77777777" w:rsidR="001B4719" w:rsidRPr="00255A20" w:rsidRDefault="001B4719" w:rsidP="001B4719">
      <w:pPr>
        <w:pStyle w:val="Odstavecseseznamem"/>
        <w:numPr>
          <w:ilvl w:val="0"/>
          <w:numId w:val="16"/>
        </w:numPr>
        <w:spacing w:after="0"/>
        <w:contextualSpacing w:val="0"/>
        <w:jc w:val="both"/>
        <w:rPr>
          <w:rFonts w:cs="Arial"/>
          <w:b/>
        </w:rPr>
      </w:pPr>
      <w:r w:rsidRPr="00255A20">
        <w:rPr>
          <w:rFonts w:cs="Arial"/>
          <w:b/>
        </w:rPr>
        <w:t>Zárodek trhu a</w:t>
      </w:r>
      <w:r w:rsidR="00546698">
        <w:rPr>
          <w:rFonts w:cs="Arial"/>
          <w:b/>
        </w:rPr>
        <w:t> </w:t>
      </w:r>
      <w:r w:rsidRPr="00255A20">
        <w:rPr>
          <w:rFonts w:cs="Arial"/>
          <w:b/>
        </w:rPr>
        <w:t>dobíjecí infrastruktury jako eliminace bariéry rozvoje elektromobility</w:t>
      </w:r>
    </w:p>
    <w:p w14:paraId="0370AC9D" w14:textId="77777777" w:rsidR="001B4719" w:rsidRDefault="001B4719" w:rsidP="001B4719">
      <w:pPr>
        <w:jc w:val="both"/>
      </w:pPr>
      <w:r>
        <w:t>Absence veřejně přístupné infrastruktury je vnímána jako zásadní bariéra rozvoje trhu s</w:t>
      </w:r>
      <w:r w:rsidR="00546698">
        <w:t> </w:t>
      </w:r>
      <w:r>
        <w:t>elektromobily, trh je malý, de facto neexistující. Nedostupnost veřejného dobíjení (zejména DC rychlodobíjení) spolu s</w:t>
      </w:r>
      <w:r w:rsidR="00546698">
        <w:t> </w:t>
      </w:r>
      <w:r>
        <w:t>omezeným dojezdem vozidel omezuje praktické využití elektromobilů. Uživatelem nebo provozovatelem elektromobilu je osoba se silnou motivací (nadšení, PR/image důvody, související předmět podnikání).</w:t>
      </w:r>
    </w:p>
    <w:p w14:paraId="149AC08E" w14:textId="77777777" w:rsidR="001B4719" w:rsidRDefault="001B4719" w:rsidP="001B4719">
      <w:pPr>
        <w:jc w:val="both"/>
      </w:pPr>
      <w:r w:rsidRPr="00506C0C">
        <w:t>Výstavba probíhá typicky za pomoci veřejných prostředků (v ČR jde o</w:t>
      </w:r>
      <w:r w:rsidR="00546698">
        <w:t> </w:t>
      </w:r>
      <w:r w:rsidRPr="00506C0C">
        <w:t>CEF, OPD) s</w:t>
      </w:r>
      <w:r w:rsidR="00546698">
        <w:t> </w:t>
      </w:r>
      <w:r w:rsidRPr="00506C0C">
        <w:t>cílem zajištění základního pokrytí území.</w:t>
      </w:r>
    </w:p>
    <w:p w14:paraId="0FD9BFEF" w14:textId="77777777" w:rsidR="001B4719" w:rsidRPr="00255A20" w:rsidRDefault="001B4719" w:rsidP="001B4719">
      <w:pPr>
        <w:pStyle w:val="Odstavecseseznamem"/>
        <w:numPr>
          <w:ilvl w:val="0"/>
          <w:numId w:val="16"/>
        </w:numPr>
        <w:spacing w:after="0"/>
        <w:contextualSpacing w:val="0"/>
        <w:jc w:val="both"/>
        <w:rPr>
          <w:rFonts w:cs="Arial"/>
          <w:b/>
        </w:rPr>
      </w:pPr>
      <w:r w:rsidRPr="00255A20">
        <w:rPr>
          <w:rFonts w:cs="Arial"/>
          <w:b/>
        </w:rPr>
        <w:t>Zahušťování infrastruktury a</w:t>
      </w:r>
      <w:r w:rsidR="00546698">
        <w:rPr>
          <w:rFonts w:cs="Arial"/>
          <w:b/>
        </w:rPr>
        <w:t> </w:t>
      </w:r>
      <w:r w:rsidRPr="00255A20">
        <w:rPr>
          <w:rFonts w:cs="Arial"/>
          <w:b/>
        </w:rPr>
        <w:t>její kvalitativní rozvoj reagující na vývoj poptávky po dobíjení</w:t>
      </w:r>
    </w:p>
    <w:p w14:paraId="2FA4FE14" w14:textId="77777777" w:rsidR="001B4719" w:rsidRDefault="001B4719" w:rsidP="001B4719">
      <w:pPr>
        <w:pStyle w:val="Odrka1"/>
        <w:jc w:val="both"/>
      </w:pPr>
      <w:r>
        <w:t>Síť dobíjecích stanic se zahušťuje jak ve smyslu kvantitativním (nárůst počtu lokalit s</w:t>
      </w:r>
      <w:r w:rsidR="00546698">
        <w:t> </w:t>
      </w:r>
      <w:r>
        <w:t>dobíjením, růst počtu stanic na stávajících lokalitách), tak i</w:t>
      </w:r>
      <w:r w:rsidR="00546698">
        <w:t> </w:t>
      </w:r>
      <w:r>
        <w:t>kvalitativním (stanice vyšších výkonů).</w:t>
      </w:r>
    </w:p>
    <w:p w14:paraId="67B41F54" w14:textId="77777777" w:rsidR="001B4719" w:rsidRDefault="001B4719" w:rsidP="001B4719">
      <w:pPr>
        <w:pStyle w:val="Odrka1"/>
        <w:jc w:val="both"/>
      </w:pPr>
      <w:r>
        <w:t>Vznikají dobíjecí huby s</w:t>
      </w:r>
      <w:r w:rsidR="00546698">
        <w:t> </w:t>
      </w:r>
      <w:r>
        <w:t>větším počtem dobíjecích stanic, které budou specifické jak z</w:t>
      </w:r>
      <w:r w:rsidR="00546698">
        <w:t> </w:t>
      </w:r>
      <w:r>
        <w:t>hlediska prostorových nároků, tak i</w:t>
      </w:r>
      <w:r w:rsidR="00546698">
        <w:t> </w:t>
      </w:r>
      <w:r>
        <w:t>nároků na připojení.</w:t>
      </w:r>
    </w:p>
    <w:p w14:paraId="0422C019" w14:textId="77777777" w:rsidR="001B4719" w:rsidRDefault="001B4719" w:rsidP="001B4719">
      <w:pPr>
        <w:pStyle w:val="Odrka1"/>
        <w:jc w:val="both"/>
      </w:pPr>
      <w:r>
        <w:t>Budou vznikat řešení pro dobíjení uživatelů, kteří nemají možnost neveřejného dobíjení (vlastní garáž, dobíjení u</w:t>
      </w:r>
      <w:r w:rsidR="00546698">
        <w:t> </w:t>
      </w:r>
      <w:r>
        <w:t>zaměstnavatele). Tato poptávka po dobíjení může být uspokojována jak výstavbou většího počtu veřejných pomalých dobíjecích bodů nebo naopak rychlodobíjecích hubů.</w:t>
      </w:r>
    </w:p>
    <w:p w14:paraId="443025BF" w14:textId="77777777" w:rsidR="001B4719" w:rsidRDefault="001B4719" w:rsidP="001B4719">
      <w:pPr>
        <w:pStyle w:val="Odrka1"/>
        <w:jc w:val="both"/>
      </w:pPr>
      <w:r>
        <w:t>Ve větší míře bude využívána akumulace a</w:t>
      </w:r>
      <w:r w:rsidR="00546698">
        <w:t> </w:t>
      </w:r>
      <w:r>
        <w:t>další smart prvky, případně v</w:t>
      </w:r>
      <w:r w:rsidR="00546698">
        <w:t> </w:t>
      </w:r>
      <w:r>
        <w:t>kombinaci s</w:t>
      </w:r>
      <w:r w:rsidR="00546698">
        <w:t> </w:t>
      </w:r>
      <w:r>
        <w:t>výrobou z</w:t>
      </w:r>
      <w:r w:rsidR="00546698">
        <w:t> </w:t>
      </w:r>
      <w:r>
        <w:t>OZE.</w:t>
      </w:r>
    </w:p>
    <w:p w14:paraId="0624DFBD" w14:textId="77777777" w:rsidR="001B4719" w:rsidRDefault="001B4719" w:rsidP="001B4719">
      <w:pPr>
        <w:pStyle w:val="Odrka1"/>
        <w:jc w:val="both"/>
      </w:pPr>
      <w:r>
        <w:t>Míra veřejné podpory se snižuje, resp. je cíleně směřována tam, kde potřebná (provoz stanic, výstavba vysoce výkonných stanic), síť jako celek se postupně dostává do fáze blížící se komerčnímu provozu.</w:t>
      </w:r>
    </w:p>
    <w:p w14:paraId="4FA816D9" w14:textId="77777777" w:rsidR="001B4719" w:rsidRPr="000C6828" w:rsidRDefault="001B4719" w:rsidP="001B4719">
      <w:pPr>
        <w:jc w:val="both"/>
        <w:rPr>
          <w:b/>
          <w:u w:val="single"/>
        </w:rPr>
      </w:pPr>
      <w:bookmarkStart w:id="217" w:name="_Toc12540134"/>
      <w:r w:rsidRPr="000C6828">
        <w:rPr>
          <w:b/>
          <w:u w:val="single"/>
        </w:rPr>
        <w:t>Neveřejná dobíjecí infrastruktura</w:t>
      </w:r>
      <w:bookmarkEnd w:id="217"/>
    </w:p>
    <w:p w14:paraId="7E815DB7" w14:textId="77777777" w:rsidR="001B4719" w:rsidRDefault="001B4719" w:rsidP="001B4719">
      <w:pPr>
        <w:jc w:val="both"/>
      </w:pPr>
      <w:r w:rsidRPr="00042818">
        <w:t xml:space="preserve">Z dosavadních </w:t>
      </w:r>
      <w:r>
        <w:t>analýz vyplývá, že přestože je veřejná dobíjecí infrastruktura pro rozvoj elektromobility klíčová, těžištěm dobíjení bude neveřejné dobíjení, kterým se zpravidla myslí dobíjení v</w:t>
      </w:r>
      <w:r w:rsidR="00546698">
        <w:t> </w:t>
      </w:r>
      <w:r>
        <w:t>domácnostech anebo v</w:t>
      </w:r>
      <w:r w:rsidR="00546698">
        <w:t> </w:t>
      </w:r>
      <w:r>
        <w:t>zaměstnání (často citovanou hodnotou je 80% podíl).</w:t>
      </w:r>
    </w:p>
    <w:p w14:paraId="43F54259" w14:textId="77777777" w:rsidR="001B4719" w:rsidRDefault="001B4719" w:rsidP="001B4719">
      <w:pPr>
        <w:jc w:val="both"/>
        <w:rPr>
          <w:u w:val="single"/>
        </w:rPr>
      </w:pPr>
      <w:r>
        <w:lastRenderedPageBreak/>
        <w:t>Z logiky věci vyplývá, že veřejné a</w:t>
      </w:r>
      <w:r w:rsidR="00546698">
        <w:t> </w:t>
      </w:r>
      <w:r>
        <w:t>neveřejné dobíjení se navzájem doplňují. Zatímco neveřejné dobíjení bude atraktivní zejména nízkými náklady), hlavním parametrem veřejné infrastruktury je její výkon, tj. rychlost dobíjení.</w:t>
      </w:r>
    </w:p>
    <w:p w14:paraId="32FF1664" w14:textId="77777777" w:rsidR="001B4719" w:rsidRPr="00C55F85" w:rsidRDefault="001B4719" w:rsidP="001B4719">
      <w:pPr>
        <w:jc w:val="both"/>
        <w:rPr>
          <w:u w:val="single"/>
        </w:rPr>
      </w:pPr>
      <w:r w:rsidRPr="00C55F85">
        <w:rPr>
          <w:u w:val="single"/>
        </w:rPr>
        <w:t>Domácnosti</w:t>
      </w:r>
    </w:p>
    <w:p w14:paraId="7F0ACDCB" w14:textId="77777777" w:rsidR="001B4719" w:rsidRDefault="001B4719" w:rsidP="001B4719">
      <w:pPr>
        <w:jc w:val="both"/>
      </w:pPr>
      <w:r>
        <w:t>V případě domácností se očekává, že hlavním faktorem, který ovlivní výkon dobíjení, bude velikost jističe domácnosti, případně náklady spojené s</w:t>
      </w:r>
      <w:r w:rsidR="00546698">
        <w:t> </w:t>
      </w:r>
      <w:r>
        <w:t xml:space="preserve">jeho zvýšením </w:t>
      </w:r>
      <w:r w:rsidRPr="00506C0C">
        <w:t>(průměrná velikost jističe rodinného domu je 25</w:t>
      </w:r>
      <w:r>
        <w:t xml:space="preserve"> </w:t>
      </w:r>
      <w:r w:rsidRPr="00506C0C">
        <w:t>A)</w:t>
      </w:r>
      <w:r>
        <w:t>. Domácí dobíjení by mělo zajistit dostatečné naplnění kapacity akumulátoru vozidla přes noc (tj. v</w:t>
      </w:r>
      <w:r w:rsidR="00546698">
        <w:t> </w:t>
      </w:r>
      <w:r>
        <w:t>řádu několika hodin), čehož lze zpravidla dosáhnout výkony dobíjecího bodu v</w:t>
      </w:r>
      <w:r w:rsidR="00546698">
        <w:t> </w:t>
      </w:r>
      <w:r>
        <w:t>rozsahu do 7 kW. S</w:t>
      </w:r>
      <w:r w:rsidR="00546698">
        <w:t> </w:t>
      </w:r>
      <w:r>
        <w:t>rostoucí kapacitou akumulátorů ve vozidlech může plnohodnotné dobití vozidla vyžadovat vyšší výkony, což nemusí být z</w:t>
      </w:r>
      <w:r w:rsidR="00546698">
        <w:t> </w:t>
      </w:r>
      <w:r>
        <w:t>pohledu domácnosti výhodné (malé vytížení) a</w:t>
      </w:r>
      <w:r w:rsidR="00546698">
        <w:t> </w:t>
      </w:r>
      <w:r>
        <w:t>proto některé analýzy předpovídají rostoucí podíl veřejného dobíjení, přinejmenším v</w:t>
      </w:r>
      <w:r w:rsidR="00546698">
        <w:t> </w:t>
      </w:r>
      <w:r>
        <w:t>některých segmentech.</w:t>
      </w:r>
    </w:p>
    <w:p w14:paraId="5C85F249" w14:textId="77777777" w:rsidR="001B4719" w:rsidRDefault="001B4719" w:rsidP="001B4719">
      <w:pPr>
        <w:jc w:val="both"/>
      </w:pPr>
      <w:r>
        <w:t>Pro dobíjení v</w:t>
      </w:r>
      <w:r w:rsidR="00546698">
        <w:t> </w:t>
      </w:r>
      <w:r>
        <w:t>domácnostech bude postupně ve větší míře používáno dobíjecích stanic (wallboxů) vybavených smart funkcemi, které umožní optimalizovat využití jističe a</w:t>
      </w:r>
      <w:r w:rsidR="00546698">
        <w:t> </w:t>
      </w:r>
      <w:r>
        <w:t>budou šetrnější k</w:t>
      </w:r>
      <w:r w:rsidR="00546698">
        <w:t> </w:t>
      </w:r>
      <w:r>
        <w:t>distribuční síti. Očekává se také vyšší využití lokální výroby elektřiny (FVE panely) ve spojení s</w:t>
      </w:r>
      <w:r w:rsidR="00546698">
        <w:t> </w:t>
      </w:r>
      <w:r>
        <w:t>akumulací.</w:t>
      </w:r>
    </w:p>
    <w:p w14:paraId="19ACB902" w14:textId="77777777" w:rsidR="001B4719" w:rsidRDefault="001B4719" w:rsidP="001B4719">
      <w:pPr>
        <w:jc w:val="both"/>
      </w:pPr>
      <w:r>
        <w:t>Specifickou oblastí jsou bytové domy, kde je budování infrastruktury především z</w:t>
      </w:r>
      <w:r w:rsidR="00546698">
        <w:t> </w:t>
      </w:r>
      <w:r>
        <w:t>důvodu spoluvlastnictví obtížné. Do budoucna bude ovlivněno legislativními požadavky (směrnice EPBD) a</w:t>
      </w:r>
      <w:r w:rsidR="00546698">
        <w:t> </w:t>
      </w:r>
      <w:r>
        <w:t>bude třeba nalézt způsob, jak vybudování dobíjecí infrastruktury umožnit</w:t>
      </w:r>
      <w:r w:rsidRPr="008E4AED">
        <w:t>.</w:t>
      </w:r>
    </w:p>
    <w:p w14:paraId="12423714" w14:textId="77777777" w:rsidR="001B4719" w:rsidRPr="00D963C1" w:rsidRDefault="001B4719" w:rsidP="001B4719">
      <w:pPr>
        <w:jc w:val="both"/>
        <w:rPr>
          <w:u w:val="single"/>
        </w:rPr>
      </w:pPr>
      <w:r w:rsidRPr="00D963C1">
        <w:rPr>
          <w:u w:val="single"/>
        </w:rPr>
        <w:t>Firemní dobíjení, administrativní budovy</w:t>
      </w:r>
    </w:p>
    <w:p w14:paraId="1147BA55" w14:textId="77777777" w:rsidR="001B4719" w:rsidRDefault="001B4719" w:rsidP="001B4719">
      <w:pPr>
        <w:jc w:val="both"/>
      </w:pPr>
      <w:r>
        <w:t>Odhady prodejů vozidel předpokládají, že významný nárůst elektromobilů budou minimálně v</w:t>
      </w:r>
      <w:r w:rsidR="00546698">
        <w:t> </w:t>
      </w:r>
      <w:r>
        <w:t>prvních letech tvořit firemní flotily. Ty se z</w:t>
      </w:r>
      <w:r w:rsidR="00546698">
        <w:t> </w:t>
      </w:r>
      <w:r>
        <w:t xml:space="preserve">hlediska dobíjení mohou chovat odlišně než individuální elektromobilita, protože od určitého počtu vozidel na jednom místě může dávat smysl vybudování vlastní dedikované infrastruktury vyšších výkonů včetně rychlodobíjecích stanic. </w:t>
      </w:r>
    </w:p>
    <w:p w14:paraId="07C40DF9" w14:textId="77777777" w:rsidR="001B4719" w:rsidRDefault="001B4719" w:rsidP="001B4719">
      <w:pPr>
        <w:jc w:val="both"/>
      </w:pPr>
      <w:r>
        <w:t>Pro tyto firemní zákazníky budou mj. i</w:t>
      </w:r>
      <w:r w:rsidR="00546698">
        <w:t> </w:t>
      </w:r>
      <w:r>
        <w:t>vzhledem k</w:t>
      </w:r>
      <w:r w:rsidR="00546698">
        <w:t> </w:t>
      </w:r>
      <w:r>
        <w:t>nákladům zpravidla připravována řešení na klíč, která budou kombinovat technologie tak, aby byl dosažen optimální poměr nákladů a</w:t>
      </w:r>
      <w:r w:rsidR="00546698">
        <w:t> </w:t>
      </w:r>
      <w:r>
        <w:t>uspokojení potřeb dobíjení. Důležitá může být implikace pro zajištění dostatečného elektrického příkonu např. v</w:t>
      </w:r>
      <w:r w:rsidR="00546698">
        <w:t> </w:t>
      </w:r>
      <w:r>
        <w:t>rámci budovy, která nabízí prostor pro optimalizaci spotřeby s</w:t>
      </w:r>
      <w:r w:rsidR="00546698">
        <w:t> </w:t>
      </w:r>
      <w:r>
        <w:t>využitím OZE a</w:t>
      </w:r>
      <w:r w:rsidR="00546698">
        <w:t> </w:t>
      </w:r>
      <w:r>
        <w:t>akumulace a</w:t>
      </w:r>
      <w:r w:rsidR="00546698">
        <w:t> </w:t>
      </w:r>
      <w:r>
        <w:t>řízení výkonu dobíjecích stanic.</w:t>
      </w:r>
    </w:p>
    <w:p w14:paraId="0758BAB0" w14:textId="77777777" w:rsidR="001B4719" w:rsidRPr="00FD7A23" w:rsidRDefault="001B4719" w:rsidP="001B4719">
      <w:pPr>
        <w:jc w:val="both"/>
        <w:rPr>
          <w:u w:val="single"/>
        </w:rPr>
      </w:pPr>
      <w:r w:rsidRPr="00FD7A23">
        <w:rPr>
          <w:u w:val="single"/>
        </w:rPr>
        <w:t>Provozovatelé veřejné dopravy</w:t>
      </w:r>
    </w:p>
    <w:p w14:paraId="71FEB260" w14:textId="77777777" w:rsidR="001B4719" w:rsidRDefault="001B4719" w:rsidP="001B4719">
      <w:pPr>
        <w:jc w:val="both"/>
      </w:pPr>
      <w:r>
        <w:t>Předpokládá se souběžný rozvoj více technologií dobíjení a</w:t>
      </w:r>
      <w:r w:rsidR="00546698">
        <w:t> </w:t>
      </w:r>
      <w:r>
        <w:t>tím i</w:t>
      </w:r>
      <w:r w:rsidR="00546698">
        <w:t> </w:t>
      </w:r>
      <w:r>
        <w:t>různých konceptů z</w:t>
      </w:r>
      <w:r w:rsidR="00546698">
        <w:t> </w:t>
      </w:r>
      <w:r>
        <w:t>hlediska provozu i</w:t>
      </w:r>
      <w:r w:rsidR="00546698">
        <w:t> </w:t>
      </w:r>
      <w:r>
        <w:t>napojení na energetickou síť:</w:t>
      </w:r>
    </w:p>
    <w:p w14:paraId="530DEECE" w14:textId="77777777" w:rsidR="001B4719" w:rsidRDefault="001B4719" w:rsidP="007533BD">
      <w:pPr>
        <w:tabs>
          <w:tab w:val="left" w:pos="284"/>
        </w:tabs>
        <w:jc w:val="both"/>
      </w:pPr>
      <w:r>
        <w:t>1)</w:t>
      </w:r>
      <w:r>
        <w:tab/>
      </w:r>
      <w:r w:rsidRPr="00FD7A23">
        <w:rPr>
          <w:rFonts w:eastAsiaTheme="minorHAnsi" w:cs="Arial"/>
          <w:szCs w:val="22"/>
          <w:lang w:eastAsia="en-US"/>
        </w:rPr>
        <w:t xml:space="preserve">Dynamické </w:t>
      </w:r>
      <w:r>
        <w:rPr>
          <w:rFonts w:eastAsiaTheme="minorHAnsi" w:cs="Arial"/>
          <w:szCs w:val="22"/>
          <w:lang w:eastAsia="en-US"/>
        </w:rPr>
        <w:t>do</w:t>
      </w:r>
      <w:r w:rsidR="007533BD">
        <w:rPr>
          <w:rFonts w:eastAsiaTheme="minorHAnsi" w:cs="Arial"/>
          <w:szCs w:val="22"/>
          <w:lang w:eastAsia="en-US"/>
        </w:rPr>
        <w:t xml:space="preserve">bíjení (in </w:t>
      </w:r>
      <w:r w:rsidR="007533BD" w:rsidRPr="007533BD">
        <w:rPr>
          <w:rFonts w:eastAsiaTheme="minorHAnsi" w:cs="Arial"/>
          <w:szCs w:val="22"/>
          <w:lang w:val="en-GB" w:eastAsia="en-US"/>
        </w:rPr>
        <w:t>motion</w:t>
      </w:r>
      <w:r w:rsidR="007533BD">
        <w:rPr>
          <w:rFonts w:eastAsiaTheme="minorHAnsi" w:cs="Arial"/>
          <w:szCs w:val="22"/>
          <w:lang w:eastAsia="en-US"/>
        </w:rPr>
        <w:t xml:space="preserve"> charging) /</w:t>
      </w:r>
      <w:r w:rsidRPr="00FD7A23">
        <w:rPr>
          <w:rFonts w:eastAsiaTheme="minorHAnsi" w:cs="Arial"/>
          <w:szCs w:val="22"/>
          <w:lang w:eastAsia="en-US"/>
        </w:rPr>
        <w:t xml:space="preserve"> dvoupólový systém</w:t>
      </w:r>
    </w:p>
    <w:p w14:paraId="588F3E42" w14:textId="77777777" w:rsidR="001B4719" w:rsidRDefault="001B4719" w:rsidP="007533BD">
      <w:pPr>
        <w:pStyle w:val="Bullet1"/>
        <w:ind w:hanging="283"/>
        <w:jc w:val="both"/>
      </w:pPr>
      <w:r>
        <w:t>Prakticky jde o</w:t>
      </w:r>
      <w:r w:rsidR="00546698">
        <w:t> </w:t>
      </w:r>
      <w:r>
        <w:t>vyšší využití a</w:t>
      </w:r>
      <w:r w:rsidR="00546698">
        <w:t> </w:t>
      </w:r>
      <w:r>
        <w:t>modernizaci stávajících trolejbusových sítí i</w:t>
      </w:r>
      <w:r w:rsidR="00546698">
        <w:t> </w:t>
      </w:r>
      <w:r>
        <w:t>stavbu nových tratí v</w:t>
      </w:r>
      <w:r w:rsidR="00546698">
        <w:t> </w:t>
      </w:r>
      <w:r>
        <w:t>racionálním rozsahu, tj. především v</w:t>
      </w:r>
      <w:r w:rsidR="00546698">
        <w:t> </w:t>
      </w:r>
      <w:r>
        <w:t>potřebných částech dlouhých a</w:t>
      </w:r>
      <w:r w:rsidR="00546698">
        <w:t> </w:t>
      </w:r>
      <w:r>
        <w:t>terénně členitých linek či v</w:t>
      </w:r>
      <w:r w:rsidR="00546698">
        <w:t> </w:t>
      </w:r>
      <w:r>
        <w:t>místech souběhu více linek. Z</w:t>
      </w:r>
      <w:r w:rsidR="00546698">
        <w:t> </w:t>
      </w:r>
      <w:r>
        <w:t>hlediska provozní ekonomiky a</w:t>
      </w:r>
      <w:r w:rsidR="00546698">
        <w:t> </w:t>
      </w:r>
      <w:r>
        <w:t>energetické efektivity bude vždy nutné najít vhodný kompromis mezi délkou realizované infrastruktury a</w:t>
      </w:r>
      <w:r w:rsidR="00546698">
        <w:t> </w:t>
      </w:r>
      <w:r>
        <w:t xml:space="preserve">množstvím baterií ve vozidle. </w:t>
      </w:r>
    </w:p>
    <w:p w14:paraId="0A5459A0" w14:textId="77777777" w:rsidR="001B4719" w:rsidRDefault="001B4719" w:rsidP="007533BD">
      <w:pPr>
        <w:pStyle w:val="Bullet1"/>
        <w:ind w:hanging="283"/>
        <w:jc w:val="both"/>
      </w:pPr>
      <w:r>
        <w:t>Týká se především měst s</w:t>
      </w:r>
      <w:r w:rsidR="00546698">
        <w:t> </w:t>
      </w:r>
      <w:r>
        <w:t xml:space="preserve">existující trolejbusovou nebo tramvajovou infrastrukturou. </w:t>
      </w:r>
    </w:p>
    <w:p w14:paraId="60FEF4F6" w14:textId="77777777" w:rsidR="001B4719" w:rsidRDefault="001B4719" w:rsidP="007533BD">
      <w:pPr>
        <w:pStyle w:val="Bullet1"/>
        <w:ind w:hanging="283"/>
        <w:jc w:val="both"/>
      </w:pPr>
      <w:r>
        <w:t>Z energetického hlediska je díky instalované troleji ve vybrané části trasy možné rozložit potřebný odběr energie během celého dne, v</w:t>
      </w:r>
      <w:r w:rsidR="00546698">
        <w:t> </w:t>
      </w:r>
      <w:r>
        <w:t>čase i</w:t>
      </w:r>
      <w:r w:rsidR="00546698">
        <w:t> </w:t>
      </w:r>
      <w:r>
        <w:t>místě a</w:t>
      </w:r>
      <w:r w:rsidR="00546698">
        <w:t> </w:t>
      </w:r>
      <w:r>
        <w:t>využití přebytků energie z</w:t>
      </w:r>
      <w:r w:rsidR="00546698">
        <w:t> </w:t>
      </w:r>
      <w:r>
        <w:t>ostatních částí sítě. Zůstávají zachovány výhody sdružení do jednoho odběrného místa. Je možné instalovat prvky akumulace a</w:t>
      </w:r>
      <w:r w:rsidR="00546698">
        <w:t> </w:t>
      </w:r>
      <w:r>
        <w:t>chytrého řízení odběru.</w:t>
      </w:r>
    </w:p>
    <w:p w14:paraId="30087728" w14:textId="77777777" w:rsidR="001B4719" w:rsidRDefault="001B4719" w:rsidP="007533BD">
      <w:pPr>
        <w:tabs>
          <w:tab w:val="left" w:pos="284"/>
        </w:tabs>
        <w:jc w:val="both"/>
      </w:pPr>
      <w:r>
        <w:t>2)</w:t>
      </w:r>
      <w:r>
        <w:tab/>
        <w:t>Statické dobíjení | dvoupólový systém</w:t>
      </w:r>
    </w:p>
    <w:p w14:paraId="4FD001B0" w14:textId="77777777" w:rsidR="001B4719" w:rsidRDefault="001B4719" w:rsidP="007533BD">
      <w:pPr>
        <w:pStyle w:val="Bullet1"/>
        <w:ind w:hanging="283"/>
        <w:jc w:val="both"/>
      </w:pPr>
      <w:r>
        <w:t>Jedná se o</w:t>
      </w:r>
      <w:r w:rsidR="00546698">
        <w:t> </w:t>
      </w:r>
      <w:r>
        <w:t>využití existující trolejbusové sítě a/nebo o</w:t>
      </w:r>
      <w:r w:rsidR="00546698">
        <w:t> </w:t>
      </w:r>
      <w:r>
        <w:t>instalaci dobíjecích míst formou dobíjecích stop v</w:t>
      </w:r>
      <w:r w:rsidR="00546698">
        <w:t> </w:t>
      </w:r>
      <w:r>
        <w:t>konečné stanici a/nebo v</w:t>
      </w:r>
      <w:r w:rsidR="00546698">
        <w:t> </w:t>
      </w:r>
      <w:r>
        <w:t>depu, které mají samostatnou měnírnu, nebo jsou propojeny se stávající dráhou a</w:t>
      </w:r>
      <w:r w:rsidR="00546698">
        <w:t> </w:t>
      </w:r>
      <w:r>
        <w:t>případně je zároveň technicky řešeno galvanické oddělení. Řešení je plně otevřené pro sdílený provoz drážních i</w:t>
      </w:r>
      <w:r w:rsidR="00546698">
        <w:t> </w:t>
      </w:r>
      <w:r>
        <w:t>silničních vozidel, tj. lze počítat s</w:t>
      </w:r>
      <w:r w:rsidR="00546698">
        <w:t> </w:t>
      </w:r>
      <w:r>
        <w:t>dlouhou životností i</w:t>
      </w:r>
      <w:r w:rsidR="00546698">
        <w:t> </w:t>
      </w:r>
      <w:r>
        <w:t>intenzivním využitím.</w:t>
      </w:r>
    </w:p>
    <w:p w14:paraId="79DD93B4" w14:textId="77777777" w:rsidR="001B4719" w:rsidRDefault="001B4719" w:rsidP="007533BD">
      <w:pPr>
        <w:pStyle w:val="Bullet1"/>
        <w:ind w:hanging="283"/>
        <w:jc w:val="both"/>
      </w:pPr>
      <w:r>
        <w:lastRenderedPageBreak/>
        <w:t>Týká se jen měst s</w:t>
      </w:r>
      <w:r w:rsidR="00546698">
        <w:t> </w:t>
      </w:r>
      <w:r>
        <w:t xml:space="preserve">trolejbusovou nebo tramvajovou infrastrukturou DC 600/750 V. </w:t>
      </w:r>
    </w:p>
    <w:p w14:paraId="44784744" w14:textId="77777777" w:rsidR="001B4719" w:rsidRDefault="001B4719" w:rsidP="007533BD">
      <w:pPr>
        <w:pStyle w:val="Bullet1"/>
        <w:ind w:hanging="283"/>
        <w:jc w:val="both"/>
      </w:pPr>
      <w:r>
        <w:t>Z energetického hlediska je výhodná synergie s</w:t>
      </w:r>
      <w:r w:rsidR="00546698">
        <w:t> </w:t>
      </w:r>
      <w:r>
        <w:t>existující rozsáhlou sítí napájecích bodů, sdruženého nákupu energie, využití rekuperace z</w:t>
      </w:r>
      <w:r w:rsidR="00546698">
        <w:t> </w:t>
      </w:r>
      <w:r>
        <w:t>dráhy a</w:t>
      </w:r>
      <w:r w:rsidR="00546698">
        <w:t> </w:t>
      </w:r>
      <w:r>
        <w:t>rozložení odběru v</w:t>
      </w:r>
      <w:r w:rsidR="00546698">
        <w:t> </w:t>
      </w:r>
      <w:r>
        <w:t>čase včetně možnosti společného řízení odběrů. Je nutné řešit otázku odlišného zdanění pro silniční vozidla.</w:t>
      </w:r>
    </w:p>
    <w:p w14:paraId="5552E4AD" w14:textId="77777777" w:rsidR="001B4719" w:rsidRDefault="007533BD" w:rsidP="007533BD">
      <w:pPr>
        <w:tabs>
          <w:tab w:val="left" w:pos="284"/>
        </w:tabs>
        <w:jc w:val="both"/>
      </w:pPr>
      <w:r>
        <w:t>3)</w:t>
      </w:r>
      <w:r>
        <w:tab/>
        <w:t>Statické dobíjení /</w:t>
      </w:r>
      <w:r w:rsidR="001B4719">
        <w:t xml:space="preserve"> čtyř- nebo vícepólový systém</w:t>
      </w:r>
    </w:p>
    <w:p w14:paraId="681BAD0B" w14:textId="77777777" w:rsidR="001B4719" w:rsidRDefault="001B4719" w:rsidP="007533BD">
      <w:pPr>
        <w:pStyle w:val="Bullet1"/>
        <w:ind w:hanging="283"/>
        <w:jc w:val="both"/>
      </w:pPr>
      <w:r>
        <w:t>Prakticky jde o</w:t>
      </w:r>
      <w:r w:rsidR="00546698">
        <w:t> </w:t>
      </w:r>
      <w:r>
        <w:t>budování rychlodobíjecích stanic o</w:t>
      </w:r>
      <w:r w:rsidR="00546698">
        <w:t> </w:t>
      </w:r>
      <w:r>
        <w:t xml:space="preserve">výkonu řádově stovek kW na každé dobíjecí rameno. Stanice je napojena na </w:t>
      </w:r>
      <w:r w:rsidR="007533BD">
        <w:t>VN</w:t>
      </w:r>
      <w:r>
        <w:t xml:space="preserve"> energetickou síť. Spojení s</w:t>
      </w:r>
      <w:r w:rsidR="00546698">
        <w:t> </w:t>
      </w:r>
      <w:r>
        <w:t>vozidlem je zajištěno zpravidla pantografem - buď pantografem na vozidle („zdola nahoru“), nebo je pantograf součástí dobíjecího místa („shora dolu“). Jiná řešení jsou buď málo otevřená, nebo mají problematickou účinnost (např. indukční dobíjení). Standardizace je dosud v</w:t>
      </w:r>
      <w:r w:rsidR="00546698">
        <w:t> </w:t>
      </w:r>
      <w:r>
        <w:t>procesu.</w:t>
      </w:r>
    </w:p>
    <w:p w14:paraId="08CA63EE" w14:textId="77777777" w:rsidR="001B4719" w:rsidRDefault="001B4719" w:rsidP="007533BD">
      <w:pPr>
        <w:pStyle w:val="Bullet1"/>
        <w:ind w:hanging="283"/>
        <w:jc w:val="both"/>
      </w:pPr>
      <w:r>
        <w:t>Týká se systému městské, případně i</w:t>
      </w:r>
      <w:r w:rsidR="00546698">
        <w:t> </w:t>
      </w:r>
      <w:r>
        <w:t xml:space="preserve">regionální dopravy, optimálně tam, kde jsou konečné linek soustředěné do společných terminálů. </w:t>
      </w:r>
    </w:p>
    <w:p w14:paraId="57684846" w14:textId="77777777" w:rsidR="001B4719" w:rsidRDefault="001B4719" w:rsidP="007533BD">
      <w:pPr>
        <w:pStyle w:val="Bullet1"/>
        <w:ind w:hanging="283"/>
        <w:jc w:val="both"/>
      </w:pPr>
      <w:r>
        <w:t>Klíčovým z</w:t>
      </w:r>
      <w:r w:rsidR="00546698">
        <w:t> </w:t>
      </w:r>
      <w:r>
        <w:t>hlediska vysokých dobíjecích proudů je garance dostatečného rezervovaného příkonu ze strany dodavatele energie. Tato skutečnost však musí být následně zohledněna v</w:t>
      </w:r>
      <w:r w:rsidR="00546698">
        <w:t> </w:t>
      </w:r>
      <w:r>
        <w:t>provozních nákladech, jelikož právě garantovaný příkon tvoří jednu z</w:t>
      </w:r>
      <w:r w:rsidR="00546698">
        <w:t> </w:t>
      </w:r>
      <w:r>
        <w:t>nejvyšších nákladových položek ceny energie.</w:t>
      </w:r>
    </w:p>
    <w:p w14:paraId="56A982B7" w14:textId="77777777" w:rsidR="001B4719" w:rsidRDefault="001B4719" w:rsidP="007533BD">
      <w:pPr>
        <w:tabs>
          <w:tab w:val="left" w:pos="284"/>
        </w:tabs>
        <w:jc w:val="both"/>
      </w:pPr>
      <w:r>
        <w:t>4)</w:t>
      </w:r>
      <w:r>
        <w:tab/>
        <w:t>Statické dobíjení | kabelové připojení</w:t>
      </w:r>
    </w:p>
    <w:p w14:paraId="400885CA" w14:textId="77777777" w:rsidR="001B4719" w:rsidRDefault="001B4719" w:rsidP="007533BD">
      <w:pPr>
        <w:pStyle w:val="Bullet1"/>
        <w:ind w:hanging="283"/>
        <w:jc w:val="both"/>
      </w:pPr>
      <w:r>
        <w:t>Může být doplňkem každého ze třech výše uvedených řešení (a také plug-in hybridy), využívaným pro dobíjení a</w:t>
      </w:r>
      <w:r w:rsidR="00546698">
        <w:t> </w:t>
      </w:r>
      <w:r>
        <w:t>balancování baterií ve vozovně. Nebo je použito samostatně v</w:t>
      </w:r>
      <w:r w:rsidR="00546698">
        <w:t> </w:t>
      </w:r>
      <w:r>
        <w:t>malých provozech a</w:t>
      </w:r>
      <w:r w:rsidR="00546698">
        <w:t> </w:t>
      </w:r>
      <w:r>
        <w:t>pro minibusy. Technologicky se jedná o</w:t>
      </w:r>
      <w:r w:rsidR="00546698">
        <w:t> </w:t>
      </w:r>
      <w:r>
        <w:t>jednoduché řešení, ale vyvolává značná provozní omezení a</w:t>
      </w:r>
      <w:r w:rsidR="00546698">
        <w:t> </w:t>
      </w:r>
      <w:r>
        <w:t>je náročné i</w:t>
      </w:r>
      <w:r w:rsidR="00546698">
        <w:t> </w:t>
      </w:r>
      <w:r>
        <w:t>na prostor ve vozovně.</w:t>
      </w:r>
    </w:p>
    <w:p w14:paraId="22017206" w14:textId="77777777" w:rsidR="001B4719" w:rsidRDefault="001B4719" w:rsidP="007533BD">
      <w:pPr>
        <w:pStyle w:val="Bullet1"/>
        <w:ind w:hanging="283"/>
        <w:jc w:val="both"/>
      </w:pPr>
      <w:r>
        <w:t>U běžných aplikací postačuje dosavadní připojení na síť vozovny či terminálu. Pro dobíjení větších flotil vozidel (v řádu vyšších desítek) se již objevuje problém obdobný pro předchozí typy nabájení, a</w:t>
      </w:r>
      <w:r w:rsidR="00546698">
        <w:t> </w:t>
      </w:r>
      <w:r>
        <w:t>sice s</w:t>
      </w:r>
      <w:r w:rsidR="00546698">
        <w:t> </w:t>
      </w:r>
      <w:r>
        <w:t>dimenzováním připojení a</w:t>
      </w:r>
      <w:r w:rsidR="00546698">
        <w:t> </w:t>
      </w:r>
      <w:r>
        <w:t>plateb elektrické energie (noční a</w:t>
      </w:r>
      <w:r w:rsidR="00546698">
        <w:t> </w:t>
      </w:r>
      <w:r>
        <w:t>polední odběry v</w:t>
      </w:r>
      <w:r w:rsidR="00546698">
        <w:t> </w:t>
      </w:r>
      <w:r>
        <w:t>řádu MW). Problém lze částečně kompenzovat chytrým řízením odběru.</w:t>
      </w:r>
    </w:p>
    <w:p w14:paraId="2C800947" w14:textId="77777777" w:rsidR="001B4719" w:rsidRDefault="001B4719" w:rsidP="001B4719">
      <w:pPr>
        <w:jc w:val="both"/>
      </w:pPr>
      <w:r>
        <w:t>Rozvoj výše uvedených forem dobíjení kromě kabelového připojení bude především záviset na dostatečné finanční podpoře z</w:t>
      </w:r>
      <w:r w:rsidR="00546698">
        <w:t> </w:t>
      </w:r>
      <w:r>
        <w:t>evropských a</w:t>
      </w:r>
      <w:r w:rsidR="00546698">
        <w:t> </w:t>
      </w:r>
      <w:r>
        <w:t>národních zdrojů, protože se jedná o</w:t>
      </w:r>
      <w:r w:rsidR="00546698">
        <w:t> </w:t>
      </w:r>
      <w:r>
        <w:t>náročné investice.</w:t>
      </w:r>
    </w:p>
    <w:p w14:paraId="46F0AC01" w14:textId="77777777" w:rsidR="001B4719" w:rsidRPr="00E71C45" w:rsidRDefault="001B4719" w:rsidP="001B4719">
      <w:pPr>
        <w:jc w:val="both"/>
        <w:rPr>
          <w:b/>
          <w:u w:val="single"/>
        </w:rPr>
      </w:pPr>
      <w:bookmarkStart w:id="218" w:name="_Toc12540137"/>
      <w:r w:rsidRPr="00E71C45">
        <w:rPr>
          <w:b/>
          <w:u w:val="single"/>
        </w:rPr>
        <w:t>Provozní podpora veřejné dobíjecí infrastruktury (dobíjecí stanice připojené z</w:t>
      </w:r>
      <w:r w:rsidR="00546698">
        <w:rPr>
          <w:b/>
          <w:u w:val="single"/>
        </w:rPr>
        <w:t> </w:t>
      </w:r>
      <w:r w:rsidRPr="00E71C45">
        <w:rPr>
          <w:b/>
          <w:u w:val="single"/>
        </w:rPr>
        <w:t>hladiny vysokého napětí)</w:t>
      </w:r>
      <w:bookmarkEnd w:id="218"/>
    </w:p>
    <w:p w14:paraId="1A037995" w14:textId="77777777" w:rsidR="001B4719" w:rsidRDefault="001B4719" w:rsidP="001B4719">
      <w:pPr>
        <w:jc w:val="both"/>
      </w:pPr>
      <w:r>
        <w:t>Stávající a</w:t>
      </w:r>
      <w:r w:rsidR="00546698">
        <w:t> </w:t>
      </w:r>
      <w:r>
        <w:t xml:space="preserve">v blízké době očekávatelný stupeň rozvoje elektromobility generuje poměrně nízké roční hodinové využití zejména rychlodobíjecích stanic. </w:t>
      </w:r>
      <w:r w:rsidRPr="00626DC8">
        <w:t xml:space="preserve">Zatímco pomalé </w:t>
      </w:r>
      <w:r>
        <w:t>do</w:t>
      </w:r>
      <w:r w:rsidRPr="00626DC8">
        <w:t>bíjení bude v</w:t>
      </w:r>
      <w:r w:rsidR="00546698">
        <w:t> </w:t>
      </w:r>
      <w:r w:rsidRPr="00626DC8">
        <w:t>celkovém objemu dobité energie tvořit tu hlavní a</w:t>
      </w:r>
      <w:r w:rsidR="00546698">
        <w:t> </w:t>
      </w:r>
      <w:r w:rsidRPr="00626DC8">
        <w:t>většinovou část, rychlo</w:t>
      </w:r>
      <w:r>
        <w:t>do</w:t>
      </w:r>
      <w:r w:rsidRPr="00626DC8">
        <w:t>bíjení bude využíváno výrazně menšinově především pro okamžitou potřebu doplnění energie elektromobilu na cestách. Tato úvaha vede k</w:t>
      </w:r>
      <w:r w:rsidR="00546698">
        <w:t> </w:t>
      </w:r>
      <w:r w:rsidRPr="00626DC8">
        <w:t>závěru, že v</w:t>
      </w:r>
      <w:r w:rsidR="00546698">
        <w:t> </w:t>
      </w:r>
      <w:r w:rsidRPr="00626DC8">
        <w:t>přechodném období, kdy elektromobily teprve budou získávat vyšší procento na celkovém počtu provozovaných vozidel, bude rychlo</w:t>
      </w:r>
      <w:r>
        <w:t>do</w:t>
      </w:r>
      <w:r w:rsidRPr="00626DC8">
        <w:t xml:space="preserve">bíječek nepochybně zapotřebí, ale jejich využití bude </w:t>
      </w:r>
      <w:r>
        <w:t>nízké</w:t>
      </w:r>
      <w:r w:rsidRPr="00626DC8">
        <w:t>, byť se s</w:t>
      </w:r>
      <w:r w:rsidR="00546698">
        <w:t> </w:t>
      </w:r>
      <w:r w:rsidRPr="00626DC8">
        <w:t>postupně rostoucí penetrací elektromobilů bude zvyšovat.</w:t>
      </w:r>
      <w:r>
        <w:t xml:space="preserve"> Z</w:t>
      </w:r>
      <w:r w:rsidR="00546698">
        <w:t> </w:t>
      </w:r>
      <w:r>
        <w:t>těchto důvodů však v</w:t>
      </w:r>
      <w:r w:rsidR="00546698">
        <w:t> </w:t>
      </w:r>
      <w:r>
        <w:t>případě stávající tarifní struktury v</w:t>
      </w:r>
      <w:r w:rsidR="00546698">
        <w:t> </w:t>
      </w:r>
      <w:r>
        <w:t>praxi dochází k</w:t>
      </w:r>
      <w:r w:rsidR="00546698">
        <w:t> </w:t>
      </w:r>
      <w:r>
        <w:t>situaci, že náklady na platbu za rezervaci kapacity (pro dobíjecí stanice připojené do hladiny vysokého napětí) jsou extrémně vysoké ve srovnání s</w:t>
      </w:r>
      <w:r w:rsidR="00546698">
        <w:t> </w:t>
      </w:r>
      <w:r>
        <w:t>platbami za samotný odběr (z důvodu nízkého hodinového využití), avšak vzhledem k</w:t>
      </w:r>
      <w:r w:rsidR="00546698">
        <w:t> </w:t>
      </w:r>
      <w:r>
        <w:t>požadovaným připojovaným příkonům k</w:t>
      </w:r>
      <w:r w:rsidR="00546698">
        <w:t> </w:t>
      </w:r>
      <w:r>
        <w:t xml:space="preserve">distribuční síti je není možné připojit do hladiny nízkého napětí. </w:t>
      </w:r>
    </w:p>
    <w:p w14:paraId="125C0D18" w14:textId="77777777" w:rsidR="001B4719" w:rsidRDefault="001B4719" w:rsidP="001B4719">
      <w:pPr>
        <w:jc w:val="both"/>
      </w:pPr>
      <w:r>
        <w:t>ERÚ indikoval, že připravuje komplexní revizi tarifní struktury, která by měla reflektovat dynamické, zejména technologické, změny sektoru elektroenergetiky. Tyto úpravy tarifní struktury však lze očekávat až ve střednědobém horizontu. Z</w:t>
      </w:r>
      <w:r w:rsidR="00546698">
        <w:t> </w:t>
      </w:r>
      <w:r>
        <w:t>krátkodobého hlediska je však z</w:t>
      </w:r>
      <w:r w:rsidR="00546698">
        <w:t> </w:t>
      </w:r>
      <w:r>
        <w:t>pohledu rozvoje elektromobility jako celku a</w:t>
      </w:r>
      <w:r w:rsidR="00546698">
        <w:t> </w:t>
      </w:r>
      <w:r>
        <w:t xml:space="preserve">zejména pak instalací rychlodobíjecích stanic nezbytná úprava dostupných tarifů na hladině vysokého napětí. </w:t>
      </w:r>
    </w:p>
    <w:p w14:paraId="706EFB87" w14:textId="77777777" w:rsidR="001B4719" w:rsidRDefault="001B4719" w:rsidP="001B4719">
      <w:pPr>
        <w:jc w:val="both"/>
      </w:pPr>
      <w:r w:rsidRPr="00626DC8">
        <w:t>České Sdružení Regulovaných Elektroenergetických Společností</w:t>
      </w:r>
      <w:r>
        <w:t xml:space="preserve"> – ČSRES (ve kterém jsou sdruženi i</w:t>
      </w:r>
      <w:r w:rsidR="00546698">
        <w:t> </w:t>
      </w:r>
      <w:r>
        <w:t xml:space="preserve">zástupci regionálních distribučních soustav) si bylo výše popsaného problému vědomo </w:t>
      </w:r>
      <w:r>
        <w:lastRenderedPageBreak/>
        <w:t>a</w:t>
      </w:r>
      <w:r w:rsidR="00546698">
        <w:t> </w:t>
      </w:r>
      <w:r>
        <w:t xml:space="preserve">rozhodlo se analyzovat možnosti úpravy principu stanovení jednosložkové ceny elektřiny. </w:t>
      </w:r>
      <w:r w:rsidRPr="00CC6B8E">
        <w:t xml:space="preserve">Ze </w:t>
      </w:r>
      <w:r w:rsidRPr="00CC6B8E">
        <w:rPr>
          <w:b/>
        </w:rPr>
        <w:t>závěru této analýzy vyplývá</w:t>
      </w:r>
      <w:r>
        <w:t>, že:</w:t>
      </w:r>
    </w:p>
    <w:p w14:paraId="6CB45184" w14:textId="77777777" w:rsidR="001B4719" w:rsidRPr="00CC6B8E" w:rsidRDefault="001B4719" w:rsidP="001B4719">
      <w:pPr>
        <w:pStyle w:val="Odrka1"/>
        <w:jc w:val="both"/>
      </w:pPr>
      <w:r w:rsidRPr="00CC6B8E">
        <w:t>Lze provést úpravu vstupního parametru pro nastavení jednosložkové ceny za službu sítí na hladině vysokého napětí, a</w:t>
      </w:r>
      <w:r w:rsidR="00546698">
        <w:t> </w:t>
      </w:r>
      <w:r w:rsidRPr="00CC6B8E">
        <w:t>to úpravou/navýšením doby využití rezervované kapacity za rok, při které vychází cenově srovnatelně jednosložková cena a</w:t>
      </w:r>
      <w:r w:rsidR="00546698">
        <w:t> </w:t>
      </w:r>
      <w:r w:rsidRPr="00CC6B8E">
        <w:t xml:space="preserve">dvousložková cena. </w:t>
      </w:r>
    </w:p>
    <w:p w14:paraId="5CA82F4F" w14:textId="77777777" w:rsidR="001B4719" w:rsidRPr="00CC6B8E" w:rsidRDefault="001B4719" w:rsidP="001B4719">
      <w:pPr>
        <w:pStyle w:val="Odrka1"/>
        <w:jc w:val="both"/>
      </w:pPr>
      <w:r w:rsidRPr="00CC6B8E">
        <w:t>Toto opatření je ze své podstaty samosvorné, neboť se zvyšujícím se počtem dobití za den, klesá i</w:t>
      </w:r>
      <w:r w:rsidR="00546698">
        <w:t> </w:t>
      </w:r>
      <w:r w:rsidRPr="00CC6B8E">
        <w:t>výhodnost volby jednosložkové ceny a</w:t>
      </w:r>
      <w:r w:rsidR="00546698">
        <w:t> </w:t>
      </w:r>
      <w:r w:rsidRPr="00CC6B8E">
        <w:t>v</w:t>
      </w:r>
      <w:r>
        <w:t> </w:t>
      </w:r>
      <w:r w:rsidRPr="00CC6B8E">
        <w:t>jistém okamžiku (při době využití, která je použita do nastavení jako vstupní parametr) se volba dvousložkové ceny stane výhodnější, tudíž se dá očekávat přesun více vytížených odběrných míst z</w:t>
      </w:r>
      <w:r w:rsidR="00546698">
        <w:t> </w:t>
      </w:r>
      <w:r w:rsidRPr="00CC6B8E">
        <w:t>jednosložkové ceny do dvousložkové ceny.</w:t>
      </w:r>
    </w:p>
    <w:p w14:paraId="3B2BDB5E" w14:textId="4EF276D5" w:rsidR="001B4719" w:rsidRPr="00D52D5C" w:rsidRDefault="001B4719" w:rsidP="001B4719">
      <w:pPr>
        <w:jc w:val="both"/>
      </w:pPr>
      <w:r>
        <w:t>Při úpravě stávající tarifní struktury je v</w:t>
      </w:r>
      <w:r w:rsidR="00546698">
        <w:t> </w:t>
      </w:r>
      <w:r w:rsidRPr="00760246">
        <w:t xml:space="preserve">dalším </w:t>
      </w:r>
      <w:r>
        <w:t>kroku nezbytné, aby byla zahájena komunikace s</w:t>
      </w:r>
      <w:r w:rsidR="00546698">
        <w:t> </w:t>
      </w:r>
      <w:r>
        <w:t>ERÚ tak, aby bylo možné zohlednit tyto úpravy již v</w:t>
      </w:r>
      <w:r w:rsidR="00546698">
        <w:t> </w:t>
      </w:r>
      <w:r>
        <w:t>cenovém rozhodnutí ERÚ pro</w:t>
      </w:r>
      <w:r w:rsidR="003E1F8B">
        <w:t xml:space="preserve"> další roky</w:t>
      </w:r>
      <w:r>
        <w:t xml:space="preserve">. </w:t>
      </w:r>
    </w:p>
    <w:p w14:paraId="1C8B6DAE" w14:textId="77777777" w:rsidR="001B4719" w:rsidRPr="00D52D5C" w:rsidRDefault="001B4719" w:rsidP="001B4719">
      <w:pPr>
        <w:jc w:val="both"/>
      </w:pPr>
      <w:r>
        <w:t>Ve střednědobém horizontu se pak jeví jako nanejvýš vhodné, aby při přípravě nové tarifní struktury byly zohledněny i</w:t>
      </w:r>
      <w:r w:rsidR="00546698">
        <w:t> </w:t>
      </w:r>
      <w:r>
        <w:t>specifika elektromobility, a</w:t>
      </w:r>
      <w:r w:rsidR="00546698">
        <w:t> </w:t>
      </w:r>
      <w:r>
        <w:t>to jak z</w:t>
      </w:r>
      <w:r w:rsidR="00546698">
        <w:t> </w:t>
      </w:r>
      <w:r>
        <w:t>pohledu dobíjení, tak z</w:t>
      </w:r>
      <w:r w:rsidR="00546698">
        <w:t> </w:t>
      </w:r>
      <w:r>
        <w:t>pohledu využití elektromobilu z</w:t>
      </w:r>
      <w:r w:rsidR="00546698">
        <w:t> </w:t>
      </w:r>
      <w:r>
        <w:t>pohledu řízení a</w:t>
      </w:r>
      <w:r w:rsidR="00546698">
        <w:t> </w:t>
      </w:r>
      <w:r>
        <w:t>provozu elektrizační soustavy.</w:t>
      </w:r>
    </w:p>
    <w:p w14:paraId="2BFB7F75" w14:textId="77777777" w:rsidR="001B4719" w:rsidRPr="00E71C45" w:rsidRDefault="001B4719" w:rsidP="001B4719">
      <w:pPr>
        <w:jc w:val="both"/>
        <w:rPr>
          <w:b/>
          <w:u w:val="single"/>
        </w:rPr>
      </w:pPr>
      <w:bookmarkStart w:id="219" w:name="_Toc12540138"/>
      <w:r w:rsidRPr="00E71C45">
        <w:rPr>
          <w:b/>
          <w:u w:val="single"/>
        </w:rPr>
        <w:t>Větší míra flexibility (upgrade stanic, reakce na poptávku)</w:t>
      </w:r>
      <w:bookmarkEnd w:id="219"/>
    </w:p>
    <w:p w14:paraId="6A557DC6" w14:textId="77777777" w:rsidR="001B4719" w:rsidRDefault="001B4719" w:rsidP="001B4719">
      <w:pPr>
        <w:jc w:val="both"/>
      </w:pPr>
      <w:r>
        <w:t>V souvislosti s</w:t>
      </w:r>
      <w:r w:rsidR="00546698">
        <w:t> </w:t>
      </w:r>
      <w:r>
        <w:t>rozvojem trhu (viz fáze rozvoje trhu) lze očekávat, že dojde k</w:t>
      </w:r>
      <w:r w:rsidR="00546698">
        <w:t> </w:t>
      </w:r>
      <w:r>
        <w:t>postupné geografické saturaci trhu (vznikne základní pokrytí dobíjecími stanicemi) a</w:t>
      </w:r>
      <w:r w:rsidR="00546698">
        <w:t> </w:t>
      </w:r>
      <w:r>
        <w:t>další výstavba bude primárně směřovat do míst s</w:t>
      </w:r>
      <w:r w:rsidR="00546698">
        <w:t> </w:t>
      </w:r>
      <w:r>
        <w:t>největší poptávkou (ukazatelem může být například vytíženost stanic, resp. lokalit). Zatímco nastavení stávajících podmínek podpory z</w:t>
      </w:r>
      <w:r w:rsidR="00546698">
        <w:t> </w:t>
      </w:r>
      <w:r>
        <w:t>OPD pro páteřní síť vyžadovalo rovnoměrné rozmístění stanic na území ČR s</w:t>
      </w:r>
      <w:r w:rsidR="00546698">
        <w:t> </w:t>
      </w:r>
      <w:r>
        <w:t>cílem vytvoření základního pokrytí, bylo by žádoucí, aby další programy podpory umožňovaly větší flexibilitu a</w:t>
      </w:r>
      <w:r w:rsidR="00546698">
        <w:t> </w:t>
      </w:r>
      <w:r>
        <w:t>to zejména ve smyslu:</w:t>
      </w:r>
    </w:p>
    <w:p w14:paraId="6CC6FFB3" w14:textId="77777777" w:rsidR="001B4719" w:rsidRDefault="001B4719" w:rsidP="001B4719">
      <w:pPr>
        <w:pStyle w:val="Odrka1"/>
        <w:jc w:val="both"/>
      </w:pPr>
      <w:r>
        <w:t>Instalace stanic s</w:t>
      </w:r>
      <w:r w:rsidR="00546698">
        <w:t> </w:t>
      </w:r>
      <w:r>
        <w:t>vyššími výkony než 50 kW, které lze v</w:t>
      </w:r>
      <w:r w:rsidR="00546698">
        <w:t> </w:t>
      </w:r>
      <w:r>
        <w:t>návaznosti na technologický vývoj očekávat již v</w:t>
      </w:r>
      <w:r w:rsidR="00546698">
        <w:t> </w:t>
      </w:r>
      <w:r>
        <w:t>nejbližších letech.</w:t>
      </w:r>
    </w:p>
    <w:p w14:paraId="294C7003" w14:textId="77777777" w:rsidR="001B4719" w:rsidRDefault="001B4719" w:rsidP="001B4719">
      <w:pPr>
        <w:pStyle w:val="Odrka1"/>
        <w:jc w:val="both"/>
      </w:pPr>
      <w:r>
        <w:t>V případě instalace stanic s</w:t>
      </w:r>
      <w:r w:rsidR="00546698">
        <w:t> </w:t>
      </w:r>
      <w:r>
        <w:t>vyššími výkony umožnit instalaci jako náhradu stávající stanice s</w:t>
      </w:r>
      <w:r w:rsidR="00546698">
        <w:t> </w:t>
      </w:r>
      <w:r>
        <w:t>nižším výkonem (výkonový upgrade) – lze očekávat, že poptávka po výkonnějším dobíjení bude vznikat zejména na místech, kde již dnes dobíjecí infrastruktura existuje.</w:t>
      </w:r>
    </w:p>
    <w:p w14:paraId="7471F1D6" w14:textId="77777777" w:rsidR="001B4719" w:rsidRDefault="001B4719" w:rsidP="001B4719">
      <w:pPr>
        <w:pStyle w:val="Odrka1"/>
        <w:jc w:val="both"/>
      </w:pPr>
      <w:r>
        <w:t>Umožnit instalaci dalších stanic na lokalitách, kde již dnes dobíjecí infrastruktura existuje (kvantitativní upgrade lokalit).</w:t>
      </w:r>
    </w:p>
    <w:p w14:paraId="52579B46" w14:textId="77777777" w:rsidR="001B4719" w:rsidRPr="00FD7A23" w:rsidRDefault="001B4719" w:rsidP="001B4719">
      <w:pPr>
        <w:jc w:val="both"/>
        <w:rPr>
          <w:bCs/>
          <w:szCs w:val="28"/>
        </w:rPr>
      </w:pPr>
      <w:bookmarkStart w:id="220" w:name="_Toc18497212"/>
      <w:bookmarkStart w:id="221" w:name="_Toc12540140"/>
      <w:bookmarkStart w:id="222" w:name="_Toc19792315"/>
      <w:bookmarkEnd w:id="220"/>
    </w:p>
    <w:p w14:paraId="05ECA214" w14:textId="77777777" w:rsidR="001B4719" w:rsidRDefault="001B4719" w:rsidP="001B4719">
      <w:pPr>
        <w:pStyle w:val="Nadpis4"/>
        <w:numPr>
          <w:ilvl w:val="3"/>
          <w:numId w:val="9"/>
        </w:numPr>
        <w:jc w:val="both"/>
      </w:pPr>
      <w:bookmarkStart w:id="223" w:name="_Toc25136795"/>
      <w:bookmarkStart w:id="224" w:name="_Toc34295921"/>
      <w:r>
        <w:t>Dlouhodobé výzvy v</w:t>
      </w:r>
      <w:r w:rsidR="00546698">
        <w:t> </w:t>
      </w:r>
      <w:r>
        <w:t>oblasti elektromobility</w:t>
      </w:r>
      <w:bookmarkEnd w:id="221"/>
      <w:bookmarkEnd w:id="222"/>
      <w:bookmarkEnd w:id="223"/>
      <w:bookmarkEnd w:id="224"/>
    </w:p>
    <w:p w14:paraId="62127DFB" w14:textId="77777777" w:rsidR="001B4719" w:rsidRPr="00E71C45" w:rsidRDefault="001B4719" w:rsidP="001B4719">
      <w:pPr>
        <w:jc w:val="both"/>
        <w:rPr>
          <w:b/>
          <w:u w:val="single"/>
        </w:rPr>
      </w:pPr>
      <w:bookmarkStart w:id="225" w:name="_Toc12540141"/>
      <w:r w:rsidRPr="00E71C45">
        <w:rPr>
          <w:b/>
          <w:u w:val="single"/>
        </w:rPr>
        <w:t>Dobíjecí infrastruktura</w:t>
      </w:r>
      <w:bookmarkEnd w:id="225"/>
    </w:p>
    <w:p w14:paraId="7A77E02B" w14:textId="77777777" w:rsidR="001B4719" w:rsidRPr="00E71C45" w:rsidRDefault="001B4719" w:rsidP="001B4719">
      <w:pPr>
        <w:jc w:val="both"/>
        <w:rPr>
          <w:u w:val="single"/>
        </w:rPr>
      </w:pPr>
      <w:r w:rsidRPr="00E71C45">
        <w:rPr>
          <w:u w:val="single"/>
        </w:rPr>
        <w:t>Ultrarychlé dobíjecí stanice</w:t>
      </w:r>
    </w:p>
    <w:p w14:paraId="63DFD797" w14:textId="22D8EABE" w:rsidR="001B4719" w:rsidRDefault="001B4719" w:rsidP="001B4719">
      <w:pPr>
        <w:jc w:val="both"/>
      </w:pPr>
      <w:r>
        <w:t>S rostoucí kapacitou akumulátorů ve vozidlech a</w:t>
      </w:r>
      <w:r w:rsidR="00546698">
        <w:t> </w:t>
      </w:r>
      <w:r>
        <w:t>snahou zajistit dobití vozidla v</w:t>
      </w:r>
      <w:r w:rsidR="00546698">
        <w:t> </w:t>
      </w:r>
      <w:r>
        <w:t>řádu minut dochází k</w:t>
      </w:r>
      <w:r w:rsidR="00546698">
        <w:t> </w:t>
      </w:r>
      <w:r>
        <w:t>navyšování výkonů dobíjecích stanic, které výkonově rostou až na úroveň 350 kW</w:t>
      </w:r>
      <w:r w:rsidR="00507ED6">
        <w:t>, případně vyšší dle vývoje technologií</w:t>
      </w:r>
      <w:r>
        <w:t>.</w:t>
      </w:r>
    </w:p>
    <w:p w14:paraId="1D5EB35E" w14:textId="76B22FFF" w:rsidR="001B4719" w:rsidRDefault="001B4719" w:rsidP="001B4719">
      <w:pPr>
        <w:jc w:val="both"/>
      </w:pPr>
      <w:r>
        <w:t>V případě těchto typů stanic logicky rostou náklady nejen na samotnou technologii, ale i</w:t>
      </w:r>
      <w:r w:rsidR="00546698">
        <w:t> </w:t>
      </w:r>
      <w:r>
        <w:t>na zajištění potřebného elektrického příkonu a</w:t>
      </w:r>
      <w:r w:rsidR="00546698">
        <w:t> </w:t>
      </w:r>
      <w:r>
        <w:t xml:space="preserve">tedy jejich provoz. Dobíjecí stanice </w:t>
      </w:r>
      <w:r w:rsidRPr="00FE0BED">
        <w:t>nejvyšších výkonů (350 kW</w:t>
      </w:r>
      <w:r w:rsidR="00507ED6">
        <w:t xml:space="preserve"> a více</w:t>
      </w:r>
      <w:r w:rsidRPr="00FE0BED">
        <w:t xml:space="preserve">) tak </w:t>
      </w:r>
      <w:r>
        <w:t>budou cílit spíše na prémiový segment trhu a</w:t>
      </w:r>
      <w:r w:rsidR="00546698">
        <w:t> </w:t>
      </w:r>
      <w:r>
        <w:t>budou zřejmě jen na hlavních dálničních tazích nebo jejich uzlech (primárně na síti TEN-T, případně na okrajích velkých měst jako je Praha, Brno, Ostrava, Olomouc),</w:t>
      </w:r>
      <w:r w:rsidRPr="00FE0BED">
        <w:t xml:space="preserve"> v</w:t>
      </w:r>
      <w:r w:rsidR="00546698">
        <w:t> </w:t>
      </w:r>
      <w:r w:rsidRPr="00FE0BED">
        <w:t>případě masového trhu bude zřejmě využíváno stanic s</w:t>
      </w:r>
      <w:r w:rsidR="00546698">
        <w:t> </w:t>
      </w:r>
      <w:r w:rsidRPr="00FE0BED">
        <w:t>výkony do 150 (175) kW, které budou rozmístěny rovnoměrněji po celém území.</w:t>
      </w:r>
    </w:p>
    <w:p w14:paraId="5513EC1F" w14:textId="77777777" w:rsidR="001B4719" w:rsidRDefault="001B4719" w:rsidP="001B4719">
      <w:pPr>
        <w:jc w:val="both"/>
      </w:pPr>
      <w:r>
        <w:t>Přes výše uvedené je žádoucí, aby se již v</w:t>
      </w:r>
      <w:r w:rsidR="00546698">
        <w:t> </w:t>
      </w:r>
      <w:r>
        <w:t>rámci současného dotačního programu MD hledaly cesty, jak podpořit rozvoj i</w:t>
      </w:r>
      <w:r w:rsidR="00546698">
        <w:t> </w:t>
      </w:r>
      <w:r>
        <w:t>těchto ultrarychlých dobíjecích stanic. Další podpora rozvoje tohoto typu dobíjecí infrastruktury by tak měla být obsažena v</w:t>
      </w:r>
      <w:r w:rsidR="00546698">
        <w:t> </w:t>
      </w:r>
      <w:r>
        <w:t>novém dotačním programu, který by měl být realizován v</w:t>
      </w:r>
      <w:r w:rsidR="00546698">
        <w:t> </w:t>
      </w:r>
      <w:r>
        <w:t>rámci OPD III.</w:t>
      </w:r>
    </w:p>
    <w:p w14:paraId="78564C55" w14:textId="77777777" w:rsidR="001B4719" w:rsidRPr="00E71C45" w:rsidRDefault="001B4719" w:rsidP="001B4719">
      <w:pPr>
        <w:jc w:val="both"/>
        <w:rPr>
          <w:u w:val="single"/>
        </w:rPr>
      </w:pPr>
      <w:r w:rsidRPr="00E71C45">
        <w:rPr>
          <w:u w:val="single"/>
        </w:rPr>
        <w:t>Dobíjecí stanice pro nákladní vozidla</w:t>
      </w:r>
    </w:p>
    <w:p w14:paraId="21BB4860" w14:textId="77777777" w:rsidR="001B4719" w:rsidRDefault="001B4719" w:rsidP="001B4719">
      <w:pPr>
        <w:jc w:val="both"/>
      </w:pPr>
      <w:r w:rsidRPr="00C42453">
        <w:lastRenderedPageBreak/>
        <w:t>V současné době nyní v</w:t>
      </w:r>
      <w:r w:rsidR="00546698">
        <w:t> </w:t>
      </w:r>
      <w:r w:rsidRPr="00C42453">
        <w:t>EU k</w:t>
      </w:r>
      <w:r w:rsidR="00546698">
        <w:t> </w:t>
      </w:r>
      <w:r w:rsidRPr="00C42453">
        <w:t>dispozici žádný veřejný dobíjecí bod vhodný pro velká nákladní vozidla, navíc nejsou ani vytvořeny standardy pro vysoce výkonn</w:t>
      </w:r>
      <w:r>
        <w:t>é (nad 500 kW) dobíjecí stanice</w:t>
      </w:r>
      <w:r w:rsidRPr="00C42453">
        <w:t>. Podle odhadů Asociace evropských výrobců automobilů (ACEA) bude v</w:t>
      </w:r>
      <w:r w:rsidR="00546698">
        <w:t> </w:t>
      </w:r>
      <w:r w:rsidRPr="00C42453">
        <w:t>období 2025-2030 zapotřebí v</w:t>
      </w:r>
      <w:r w:rsidR="00546698">
        <w:t> </w:t>
      </w:r>
      <w:r w:rsidRPr="00C42453">
        <w:t>EU vybudovat nejméně 20 tisíc „běžných“ dobíjecích bodů pro nákladní vozidla (150 – 500 kW) a</w:t>
      </w:r>
      <w:r w:rsidR="00546698">
        <w:t> </w:t>
      </w:r>
      <w:r w:rsidRPr="00C42453">
        <w:t>dalších 6 tisíc dobíjecích bodů s</w:t>
      </w:r>
      <w:r w:rsidR="00546698">
        <w:t> </w:t>
      </w:r>
      <w:r w:rsidRPr="00C42453">
        <w:t>výkonem nad 500 kW podél dálnic pro dálková nákladní vozidla. Dobíjecí body nad 500 kW by měly být na dálnicích vybudovány dle ACEA alespoň každých 100 km, dobíjecí body 150-500</w:t>
      </w:r>
      <w:r>
        <w:t xml:space="preserve"> </w:t>
      </w:r>
      <w:r w:rsidRPr="00C42453">
        <w:t>kW pak alespoň každých 50 km.</w:t>
      </w:r>
    </w:p>
    <w:p w14:paraId="28D44924" w14:textId="77777777" w:rsidR="001B4719" w:rsidRPr="00255A20" w:rsidRDefault="001B4719" w:rsidP="001B4719">
      <w:pPr>
        <w:jc w:val="both"/>
        <w:rPr>
          <w:u w:val="single"/>
        </w:rPr>
      </w:pPr>
      <w:r w:rsidRPr="00255A20">
        <w:rPr>
          <w:u w:val="single"/>
        </w:rPr>
        <w:t xml:space="preserve">Chytré řízení </w:t>
      </w:r>
      <w:r>
        <w:rPr>
          <w:u w:val="single"/>
        </w:rPr>
        <w:t>do</w:t>
      </w:r>
      <w:r w:rsidRPr="00255A20">
        <w:rPr>
          <w:u w:val="single"/>
        </w:rPr>
        <w:t>bíjení – vazba na NAP SG</w:t>
      </w:r>
    </w:p>
    <w:p w14:paraId="7306C1BE" w14:textId="77777777" w:rsidR="001B4719" w:rsidRDefault="001B4719" w:rsidP="001B4719">
      <w:pPr>
        <w:jc w:val="both"/>
      </w:pPr>
      <w:r>
        <w:t>Jedním z</w:t>
      </w:r>
      <w:r w:rsidR="00546698">
        <w:t> </w:t>
      </w:r>
      <w:r>
        <w:t>výrazných evropských rozvojových trendů v</w:t>
      </w:r>
      <w:r w:rsidR="00546698">
        <w:t> </w:t>
      </w:r>
      <w:r>
        <w:t>oblasti dobíjecí infrastruktury elektromobilů je zařazení chytrého řízení dobíjení, tzv. Smart charging. Smart charging je možné definovat jako kontrolovaný dobíjecí proces, který optimalizuje využití sítě a</w:t>
      </w:r>
      <w:r w:rsidR="00546698">
        <w:t> </w:t>
      </w:r>
      <w:r>
        <w:t>síťových zdrojů tak, aby se maximálně snížili dopady dobíjení elektromobilů na stávající infrastrukturu.</w:t>
      </w:r>
    </w:p>
    <w:p w14:paraId="654383CB" w14:textId="77777777" w:rsidR="001B4719" w:rsidRDefault="001B4719" w:rsidP="001B4719">
      <w:pPr>
        <w:jc w:val="both"/>
      </w:pPr>
      <w:r>
        <w:t>Konktrétně se jedná o</w:t>
      </w:r>
      <w:r w:rsidR="00546698">
        <w:t> </w:t>
      </w:r>
      <w:r>
        <w:t>přesunutí dobíjení elektromobilů do období nižšího zatížení soustavy, případně využití dobíjení elektromobilů k</w:t>
      </w:r>
      <w:r w:rsidR="00546698">
        <w:t> </w:t>
      </w:r>
      <w:r>
        <w:t>potlačení nežádoucích špiček v</w:t>
      </w:r>
      <w:r w:rsidR="00546698">
        <w:t> </w:t>
      </w:r>
      <w:r>
        <w:t>denním diagramu výroby i</w:t>
      </w:r>
      <w:r w:rsidR="00546698">
        <w:t> </w:t>
      </w:r>
      <w:r>
        <w:t>zatížení.</w:t>
      </w:r>
    </w:p>
    <w:p w14:paraId="6A23E0A1" w14:textId="77777777" w:rsidR="001B4719" w:rsidRDefault="001B4719" w:rsidP="001B4719">
      <w:pPr>
        <w:jc w:val="both"/>
      </w:pPr>
      <w:r>
        <w:t>V paralelně probíhajících pracích na plnění karty A25 NAP SG byla v</w:t>
      </w:r>
      <w:r w:rsidR="00546698">
        <w:t> </w:t>
      </w:r>
      <w:r>
        <w:t>lednu 2019 vydána studie Dopadů elektromobility do DS ČR zpracovaná firmami EGÚ Brno a</w:t>
      </w:r>
      <w:r w:rsidR="00546698">
        <w:t> </w:t>
      </w:r>
      <w:r>
        <w:t>EGC EnerGoConsult. Tato definuje množství úprav ve všech DS ČR vyvolaných implementací elektromobility podle scé</w:t>
      </w:r>
      <w:r w:rsidR="007533BD">
        <w:t>nářů zadaných ve studii od Euroe</w:t>
      </w:r>
      <w:r>
        <w:t>nergy z</w:t>
      </w:r>
      <w:r w:rsidR="00546698">
        <w:t> </w:t>
      </w:r>
      <w:r>
        <w:t>roku 2018. Studie obsahuje také jejich předpokládanou finanční náročnost.</w:t>
      </w:r>
    </w:p>
    <w:p w14:paraId="7D6D712D" w14:textId="77777777" w:rsidR="001B4719" w:rsidRPr="00910690" w:rsidRDefault="001B4719" w:rsidP="00910690">
      <w:pPr>
        <w:jc w:val="both"/>
      </w:pPr>
      <w:r>
        <w:t>Tato studie byla zpracována pro stav bez řízení dobíjení, tudíž stav méně příznivý, co se množství dopadů i</w:t>
      </w:r>
      <w:r w:rsidR="00546698">
        <w:t> </w:t>
      </w:r>
      <w:r>
        <w:t>finančních nároků na posílení sítí týče. V</w:t>
      </w:r>
      <w:r w:rsidR="00546698">
        <w:t> </w:t>
      </w:r>
      <w:r>
        <w:t>současnosti probíhají práce na doplňující studii, která by měla kvantifikovat přínos použití smart charging pro DS ČR a</w:t>
      </w:r>
      <w:r w:rsidR="00546698">
        <w:t> </w:t>
      </w:r>
      <w:r>
        <w:t>ukázat jeho využitelnost pro budoucí rozvoj elektromobility v</w:t>
      </w:r>
      <w:r w:rsidR="00546698">
        <w:t> </w:t>
      </w:r>
      <w:r>
        <w:t>ČR.</w:t>
      </w:r>
      <w:bookmarkStart w:id="226" w:name="_Toc12540142"/>
    </w:p>
    <w:p w14:paraId="6A9BD2BE" w14:textId="77777777" w:rsidR="001B4719" w:rsidRPr="00E71C45" w:rsidRDefault="001B4719" w:rsidP="001B4719">
      <w:pPr>
        <w:jc w:val="both"/>
        <w:rPr>
          <w:b/>
          <w:u w:val="single"/>
        </w:rPr>
      </w:pPr>
      <w:r w:rsidRPr="00E71C45">
        <w:rPr>
          <w:b/>
          <w:u w:val="single"/>
        </w:rPr>
        <w:t>Vozidla</w:t>
      </w:r>
      <w:bookmarkEnd w:id="226"/>
    </w:p>
    <w:p w14:paraId="76F0A58D" w14:textId="77777777" w:rsidR="001B4719" w:rsidRPr="00E71C45" w:rsidRDefault="001B4719" w:rsidP="001B4719">
      <w:pPr>
        <w:jc w:val="both"/>
        <w:rPr>
          <w:u w:val="single"/>
        </w:rPr>
      </w:pPr>
      <w:r w:rsidRPr="00E71C45">
        <w:rPr>
          <w:u w:val="single"/>
        </w:rPr>
        <w:t>Elektromobilita v</w:t>
      </w:r>
      <w:r w:rsidR="00546698">
        <w:rPr>
          <w:u w:val="single"/>
        </w:rPr>
        <w:t> </w:t>
      </w:r>
      <w:r w:rsidRPr="00E71C45">
        <w:rPr>
          <w:u w:val="single"/>
        </w:rPr>
        <w:t>nákladní dopravě</w:t>
      </w:r>
    </w:p>
    <w:p w14:paraId="090C0CF5" w14:textId="77777777" w:rsidR="001B4719" w:rsidRDefault="001B4719" w:rsidP="001B4719">
      <w:pPr>
        <w:jc w:val="both"/>
      </w:pPr>
      <w:r>
        <w:t>Až do nedávna byla symbolem elektromobility především osobní vozidla. Proto i</w:t>
      </w:r>
      <w:r w:rsidR="00546698">
        <w:t> </w:t>
      </w:r>
      <w:r>
        <w:t>původní NAP CM řešil primárně rozvoj elektromobility (resp. obecně čisté mobility) v</w:t>
      </w:r>
      <w:r w:rsidR="00546698">
        <w:t> </w:t>
      </w:r>
      <w:r>
        <w:t>osobní dopravě. Jak však vyplývá z</w:t>
      </w:r>
      <w:r w:rsidR="00546698">
        <w:t> </w:t>
      </w:r>
      <w:r>
        <w:t>kapitoly věnované obecným východiskům aktualizace NAP CM, je žádoucí se v</w:t>
      </w:r>
      <w:r w:rsidR="00546698">
        <w:t> </w:t>
      </w:r>
      <w:r>
        <w:t>oblasti elektromobility zaměřit též na segment nákladní dopravy a</w:t>
      </w:r>
      <w:r w:rsidR="00546698">
        <w:t> </w:t>
      </w:r>
      <w:r>
        <w:t>to především s</w:t>
      </w:r>
      <w:r w:rsidR="00546698">
        <w:t> </w:t>
      </w:r>
      <w:r>
        <w:t>ohledem na novou legislativu EU v</w:t>
      </w:r>
      <w:r w:rsidR="00546698">
        <w:t> </w:t>
      </w:r>
      <w:r>
        <w:t>oblasti CO</w:t>
      </w:r>
      <w:r w:rsidRPr="004B3D01">
        <w:rPr>
          <w:vertAlign w:val="subscript"/>
        </w:rPr>
        <w:t xml:space="preserve">2 </w:t>
      </w:r>
      <w:r>
        <w:t xml:space="preserve">pro nová těžká nákladní silniční vozidla. </w:t>
      </w:r>
    </w:p>
    <w:p w14:paraId="2E59DADD" w14:textId="2CE83396" w:rsidR="001B4719" w:rsidRDefault="001B4719" w:rsidP="001B4719">
      <w:pPr>
        <w:jc w:val="both"/>
      </w:pPr>
      <w:r w:rsidRPr="00FE0BED">
        <w:t>Klíčovým předpokladem rozvoje elektromobility v</w:t>
      </w:r>
      <w:r w:rsidR="00546698">
        <w:t> </w:t>
      </w:r>
      <w:r w:rsidRPr="00FE0BED">
        <w:t>nákladní dopravě je rozvoj ultrarychlé dobíjecí infrastruktury (150-350 kW</w:t>
      </w:r>
      <w:r w:rsidR="00507ED6">
        <w:t>, případně výše</w:t>
      </w:r>
      <w:r w:rsidRPr="00FE0BED">
        <w:t>), které zajistí dobití v</w:t>
      </w:r>
      <w:r w:rsidR="00546698">
        <w:t> </w:t>
      </w:r>
      <w:r w:rsidRPr="00FE0BED">
        <w:t>potřebném čase. Význam to může mít zejména v</w:t>
      </w:r>
      <w:r w:rsidR="00546698">
        <w:t> </w:t>
      </w:r>
      <w:r w:rsidRPr="00FE0BED">
        <w:t>těch případech, kdy nákladní vozy mají omezený denní nájezd (v rámci např. tzv.</w:t>
      </w:r>
      <w:r>
        <w:t xml:space="preserve"> city logistiky).</w:t>
      </w:r>
    </w:p>
    <w:p w14:paraId="482E0B2E" w14:textId="77777777" w:rsidR="001B4719" w:rsidRDefault="001B4719" w:rsidP="001B4719">
      <w:pPr>
        <w:jc w:val="both"/>
      </w:pPr>
      <w:r>
        <w:t>Řada odborníků sice dává v</w:t>
      </w:r>
      <w:r w:rsidR="00546698">
        <w:t> </w:t>
      </w:r>
      <w:r>
        <w:t>toto této oblasti z</w:t>
      </w:r>
      <w:r w:rsidR="00546698">
        <w:t> </w:t>
      </w:r>
      <w:r>
        <w:t>dlouhodobého hlediska vyšší šance na uplatnění vodíkové elektromobilitě, nelze však zcela opomíjet ani technologický pokrok, který byl zaznamenán v</w:t>
      </w:r>
      <w:r w:rsidR="00546698">
        <w:t> </w:t>
      </w:r>
      <w:r>
        <w:t xml:space="preserve">oblasti bateriové elektromobility </w:t>
      </w:r>
      <w:r w:rsidRPr="00FE0BED">
        <w:t>(viz například aktivity společnosti TESLA, Daimler)</w:t>
      </w:r>
      <w:r>
        <w:t xml:space="preserve">. </w:t>
      </w:r>
    </w:p>
    <w:p w14:paraId="296FB4B6" w14:textId="77777777" w:rsidR="001B4719" w:rsidRDefault="001B4719" w:rsidP="001B4719">
      <w:pPr>
        <w:jc w:val="both"/>
      </w:pPr>
      <w:r>
        <w:t>V oblasti elektrické nákladní dopravy se ale nabízí i</w:t>
      </w:r>
      <w:r w:rsidR="00546698">
        <w:t> </w:t>
      </w:r>
      <w:r>
        <w:t xml:space="preserve">odlišný technologický koncept zvaný </w:t>
      </w:r>
      <w:r w:rsidRPr="002725B2">
        <w:t>eHighway</w:t>
      </w:r>
      <w:r>
        <w:t>. Ten je založen na kombinaci využití hybridního pohonu vozu a</w:t>
      </w:r>
      <w:r w:rsidR="00546698">
        <w:t> </w:t>
      </w:r>
      <w:r>
        <w:t>elektrifikované komunikaci realizované pomocí trolejového vedení. Pilotní projekty v</w:t>
      </w:r>
      <w:r w:rsidR="00546698">
        <w:t> </w:t>
      </w:r>
      <w:r>
        <w:t>tomto směru byly již v</w:t>
      </w:r>
      <w:r w:rsidR="00546698">
        <w:t> </w:t>
      </w:r>
      <w:r>
        <w:t>minulosti realizovány v</w:t>
      </w:r>
      <w:r w:rsidR="00546698">
        <w:t> </w:t>
      </w:r>
      <w:r>
        <w:t>Německu, Švédsku nebo Itálii. Z</w:t>
      </w:r>
      <w:r w:rsidR="00546698">
        <w:t> </w:t>
      </w:r>
      <w:r>
        <w:t>výrobců těžkých nákladních vozidel tento technologický trend sleduje zatím především společnost Scania. Tento trend je třeba v</w:t>
      </w:r>
      <w:r w:rsidR="00546698">
        <w:t> </w:t>
      </w:r>
      <w:r>
        <w:t>dlouhodobém horizontu sledovat i</w:t>
      </w:r>
      <w:r w:rsidR="00546698">
        <w:t> </w:t>
      </w:r>
      <w:r>
        <w:t>v ČR.</w:t>
      </w:r>
    </w:p>
    <w:p w14:paraId="3D746B28" w14:textId="77777777" w:rsidR="001B4719" w:rsidRDefault="001B4719" w:rsidP="001B4719">
      <w:pPr>
        <w:jc w:val="both"/>
      </w:pPr>
      <w:r w:rsidRPr="00FE0BED">
        <w:t>V případě nákladní elektromobility platí vzhledem k</w:t>
      </w:r>
      <w:r w:rsidR="00546698">
        <w:t> </w:t>
      </w:r>
      <w:r w:rsidRPr="00FE0BED">
        <w:t>vysokým pořizovacím nákladům i</w:t>
      </w:r>
      <w:r w:rsidR="00546698">
        <w:t> </w:t>
      </w:r>
      <w:r w:rsidRPr="00FE0BED">
        <w:t>to, že její stimulace by kromě podpory infrastruktury měla obsahovat i</w:t>
      </w:r>
      <w:r w:rsidR="00546698">
        <w:t> </w:t>
      </w:r>
      <w:r w:rsidRPr="00FE0BED">
        <w:t>podporu pořízení vozidel, přičemž v</w:t>
      </w:r>
      <w:r w:rsidR="00546698">
        <w:t> </w:t>
      </w:r>
      <w:r w:rsidRPr="00FE0BED">
        <w:t>případě nákladních vozidel se nabízí širší škála nepřímých nástrojů</w:t>
      </w:r>
      <w:r>
        <w:t>. Pozitivní skutečností je, že všechna vozidla s</w:t>
      </w:r>
      <w:r w:rsidR="00546698">
        <w:t> </w:t>
      </w:r>
      <w:r>
        <w:t>elektrickým pohonem (včetně vozidel nákladních) jsou na základě poslední novely zákona o</w:t>
      </w:r>
      <w:r w:rsidR="00546698">
        <w:t> </w:t>
      </w:r>
      <w:r>
        <w:t>pozemních komunikacích vyjmuta ze systému zpoplatnění (tedy i</w:t>
      </w:r>
      <w:r w:rsidR="00546698">
        <w:t> </w:t>
      </w:r>
      <w:r>
        <w:t>placení mýtného) Tento stav je žádoucí zachovat minimálně do roku 2030.</w:t>
      </w:r>
    </w:p>
    <w:p w14:paraId="363FAA7C" w14:textId="77777777" w:rsidR="001B4719" w:rsidRPr="00FD7A23" w:rsidRDefault="001B4719" w:rsidP="001B4719">
      <w:pPr>
        <w:jc w:val="both"/>
        <w:rPr>
          <w:u w:val="single"/>
        </w:rPr>
      </w:pPr>
      <w:r w:rsidRPr="00FD7A23">
        <w:rPr>
          <w:u w:val="single"/>
        </w:rPr>
        <w:lastRenderedPageBreak/>
        <w:t>Elektromobilita v</w:t>
      </w:r>
      <w:r w:rsidR="00546698">
        <w:rPr>
          <w:u w:val="single"/>
        </w:rPr>
        <w:t> </w:t>
      </w:r>
      <w:r w:rsidRPr="00FD7A23">
        <w:rPr>
          <w:u w:val="single"/>
        </w:rPr>
        <w:t>MHD</w:t>
      </w:r>
    </w:p>
    <w:p w14:paraId="437C1F6D" w14:textId="77777777" w:rsidR="001B4719" w:rsidRDefault="001B4719" w:rsidP="001B4719">
      <w:pPr>
        <w:jc w:val="both"/>
      </w:pPr>
      <w:r>
        <w:t>V oboru MHD je dlouhodobou výzvou vyřešení bezemisního provozu velkokapacitních (kloubových) vozidel, které se kromě vyšší spotřeby vyznačují taktéž nasazením do nejtěžšího městského provozu s</w:t>
      </w:r>
      <w:r w:rsidR="00546698">
        <w:t> </w:t>
      </w:r>
      <w:r>
        <w:t>vysokými denními nájezdy kilometrů a</w:t>
      </w:r>
      <w:r w:rsidR="00546698">
        <w:t> </w:t>
      </w:r>
      <w:r>
        <w:t>minimálními prostoji na konečných. Právě pro tato velkokapacitní vozidla je dosud jediné obstojné řešení městská verze „eHighway“, tj. dynamické dobíjení z</w:t>
      </w:r>
      <w:r w:rsidR="00546698">
        <w:t> </w:t>
      </w:r>
      <w:r>
        <w:t>trolejbusových trolejí. Příznivým argumentem je, že toto řešení je již osvědčeno v</w:t>
      </w:r>
      <w:r w:rsidR="00546698">
        <w:t> </w:t>
      </w:r>
      <w:r>
        <w:t>provozu, negativním zůstává náročnost investic a</w:t>
      </w:r>
      <w:r w:rsidR="00546698">
        <w:t> </w:t>
      </w:r>
      <w:r>
        <w:t>legislativní překážky. V</w:t>
      </w:r>
      <w:r w:rsidR="00546698">
        <w:t> </w:t>
      </w:r>
      <w:r>
        <w:t>případě dynamického dobíjení je technologickou výzvou nalezení nejjednoduššího a</w:t>
      </w:r>
      <w:r w:rsidR="00546698">
        <w:t> </w:t>
      </w:r>
      <w:r>
        <w:t>nejlevnějšího řešení galvanického oddělení (zajištění bezpečnosti), kdy se v</w:t>
      </w:r>
      <w:r w:rsidR="00546698">
        <w:t> </w:t>
      </w:r>
      <w:r>
        <w:t>některých zemích jde cestou umístění takového zařízení na vstupu do vozidla a</w:t>
      </w:r>
      <w:r w:rsidR="00546698">
        <w:t> </w:t>
      </w:r>
      <w:r>
        <w:t>díky tomu všechny ostatní komponenty mohou mít jednoduchou izolaci a</w:t>
      </w:r>
      <w:r w:rsidR="00546698">
        <w:t> </w:t>
      </w:r>
      <w:r>
        <w:t>tedy unifikaci s</w:t>
      </w:r>
      <w:r w:rsidR="00546698">
        <w:t> </w:t>
      </w:r>
      <w:r>
        <w:t xml:space="preserve">vícepólově dobíjenými vozidly. </w:t>
      </w:r>
    </w:p>
    <w:p w14:paraId="0BCE8446" w14:textId="77777777" w:rsidR="001B4719" w:rsidRDefault="001B4719" w:rsidP="001B4719">
      <w:pPr>
        <w:jc w:val="both"/>
      </w:pPr>
      <w:r>
        <w:t>Další výzvou obecně v</w:t>
      </w:r>
      <w:r w:rsidR="00546698">
        <w:t> </w:t>
      </w:r>
      <w:r>
        <w:t>celé oblasti elektrobusů je požadavek obejít se v</w:t>
      </w:r>
      <w:r w:rsidR="00546698">
        <w:t> </w:t>
      </w:r>
      <w:r>
        <w:t>provozu bez naftového topení, které je zdrojem nezanedbatelných emisí (v zimním období až desítky litrů nafty na 100 km) a</w:t>
      </w:r>
      <w:r w:rsidR="00546698">
        <w:t> </w:t>
      </w:r>
      <w:r>
        <w:t xml:space="preserve">kvůli němuž taková vozidla nebudou splňovat požadavky směrnice 2009/33/ES na bezemisní vozidla. </w:t>
      </w:r>
    </w:p>
    <w:p w14:paraId="0CB52595" w14:textId="77777777" w:rsidR="001B4719" w:rsidRDefault="001B4719" w:rsidP="001B4719">
      <w:pPr>
        <w:jc w:val="both"/>
      </w:pPr>
      <w:r>
        <w:t>V provozu veřejné dopravy, zejména MHD, největším limitem zůstává pochopitelně energetická hustota a</w:t>
      </w:r>
      <w:r w:rsidR="00546698">
        <w:t> </w:t>
      </w:r>
      <w:r>
        <w:t>životnost baterií, protože vozidla jsou prostorově i</w:t>
      </w:r>
      <w:r w:rsidR="00546698">
        <w:t> </w:t>
      </w:r>
      <w:r>
        <w:t>hmotnostně omezena, mají vysoký denní proběh a</w:t>
      </w:r>
      <w:r w:rsidR="00546698">
        <w:t> </w:t>
      </w:r>
      <w:r>
        <w:t>dobíjejí se v</w:t>
      </w:r>
      <w:r w:rsidR="00546698">
        <w:t> </w:t>
      </w:r>
      <w:r>
        <w:t>mnoha cyklech denně a</w:t>
      </w:r>
      <w:r w:rsidR="00546698">
        <w:t> </w:t>
      </w:r>
      <w:r>
        <w:t>v krátkém čase. Baterie jsou tedy zatěžovány na hranici svých možností. Zároveň je požadována vysoká spolehlivost, vysoká účinnost a</w:t>
      </w:r>
      <w:r w:rsidR="00546698">
        <w:t> </w:t>
      </w:r>
      <w:r>
        <w:t>nízká cena na provoz.</w:t>
      </w:r>
    </w:p>
    <w:p w14:paraId="1C6F88CB" w14:textId="77777777" w:rsidR="001B4719" w:rsidRPr="00255A20" w:rsidRDefault="001B4719" w:rsidP="001B4719">
      <w:pPr>
        <w:jc w:val="both"/>
        <w:rPr>
          <w:u w:val="single"/>
        </w:rPr>
      </w:pPr>
      <w:r w:rsidRPr="00255A20">
        <w:rPr>
          <w:u w:val="single"/>
        </w:rPr>
        <w:t>Problematika baterií</w:t>
      </w:r>
    </w:p>
    <w:p w14:paraId="7DDF880B" w14:textId="77777777" w:rsidR="001B4719" w:rsidRDefault="001B4719" w:rsidP="001B4719">
      <w:pPr>
        <w:jc w:val="both"/>
      </w:pPr>
      <w:r w:rsidRPr="005F5074">
        <w:t>Vzhledem k</w:t>
      </w:r>
      <w:r w:rsidR="00546698">
        <w:t> </w:t>
      </w:r>
      <w:r w:rsidRPr="005F5074">
        <w:t>očekávanému rozvoji elektromobility v</w:t>
      </w:r>
      <w:r w:rsidR="00546698">
        <w:t> </w:t>
      </w:r>
      <w:r w:rsidRPr="005F5074">
        <w:t>ČR a</w:t>
      </w:r>
      <w:r w:rsidR="00546698">
        <w:t> </w:t>
      </w:r>
      <w:r w:rsidRPr="005F5074">
        <w:t>EU lze očekávat potřebu zajištění adekvátní dostupnosti baterií a</w:t>
      </w:r>
      <w:r w:rsidR="00546698">
        <w:t> </w:t>
      </w:r>
      <w:r w:rsidRPr="005F5074">
        <w:t>bateriových článků. S</w:t>
      </w:r>
      <w:r w:rsidR="00546698">
        <w:t> </w:t>
      </w:r>
      <w:r w:rsidRPr="005F5074">
        <w:t>tím souvisí i</w:t>
      </w:r>
      <w:r w:rsidR="00546698">
        <w:t> </w:t>
      </w:r>
      <w:r w:rsidRPr="005F5074">
        <w:t>rozšíření jejich výroby a</w:t>
      </w:r>
      <w:r w:rsidR="00546698">
        <w:t> </w:t>
      </w:r>
      <w:r w:rsidRPr="005F5074">
        <w:t>vytvoření konkurenceschopného a</w:t>
      </w:r>
      <w:r w:rsidR="00546698">
        <w:t> </w:t>
      </w:r>
      <w:r w:rsidRPr="005F5074">
        <w:t>udržitelného bateriového ekosystému v</w:t>
      </w:r>
      <w:r w:rsidR="00546698">
        <w:t> </w:t>
      </w:r>
      <w:r w:rsidRPr="005F5074">
        <w:t>CR nebo přeshraničně. Chybí dostatečné financování a</w:t>
      </w:r>
      <w:r w:rsidR="00546698">
        <w:t> </w:t>
      </w:r>
      <w:r w:rsidRPr="005F5074">
        <w:t>dostatečné kapacity ve výrobě. Elektromobilita přináší množství příležitostí v</w:t>
      </w:r>
      <w:r w:rsidR="00546698">
        <w:t> </w:t>
      </w:r>
      <w:r w:rsidRPr="005F5074">
        <w:t>řetězci výrob</w:t>
      </w:r>
      <w:r>
        <w:t>y</w:t>
      </w:r>
      <w:r w:rsidRPr="005F5074">
        <w:t xml:space="preserve"> baterií od zajištění surovin, jejich zpracování, výrobu článků, sestavování bateriových modulů, second </w:t>
      </w:r>
      <w:r w:rsidRPr="002725B2">
        <w:t>life</w:t>
      </w:r>
      <w:r w:rsidRPr="005F5074">
        <w:t xml:space="preserve"> baterií až po jejich efektivní recyklaci a</w:t>
      </w:r>
      <w:r w:rsidR="00546698">
        <w:t> </w:t>
      </w:r>
      <w:r w:rsidRPr="005F5074">
        <w:t>ekologickou likvidaci odpadu.</w:t>
      </w:r>
    </w:p>
    <w:p w14:paraId="037305F6" w14:textId="77777777" w:rsidR="001B4719" w:rsidRDefault="001B4719" w:rsidP="001B4719">
      <w:pPr>
        <w:jc w:val="both"/>
      </w:pPr>
      <w:r>
        <w:t>S rozvojem elektromobility tak vyvstává otázka, jak bezpečně manipulovat s</w:t>
      </w:r>
      <w:r w:rsidR="00546698">
        <w:t> </w:t>
      </w:r>
      <w:r>
        <w:t>lithiovými bateriemi a</w:t>
      </w:r>
      <w:r w:rsidR="00546698">
        <w:t> </w:t>
      </w:r>
      <w:r>
        <w:t>akumulátory a</w:t>
      </w:r>
      <w:r w:rsidR="00546698">
        <w:t> </w:t>
      </w:r>
      <w:r>
        <w:t>co dělat s</w:t>
      </w:r>
      <w:r w:rsidR="00546698">
        <w:t> </w:t>
      </w:r>
      <w:r>
        <w:t>vysloužilými lithiovými bateriemi, resp. akumulátory, tak, aby byla zajištěna ochrana lidského zdraví a</w:t>
      </w:r>
      <w:r w:rsidR="00546698">
        <w:t> </w:t>
      </w:r>
      <w:r>
        <w:t>životního prostředí. Chemické vlastnosti lithiových baterií totiž představují vysoké bezpečnostní riziko vzhledem ke svým chemickým vlastnostem a</w:t>
      </w:r>
      <w:r w:rsidR="00546698">
        <w:t> </w:t>
      </w:r>
      <w:r>
        <w:t>k náročnosti zajištění bezpečnosti při nakládání s</w:t>
      </w:r>
      <w:r w:rsidR="00546698">
        <w:t> </w:t>
      </w:r>
      <w:r>
        <w:t>nimi (sběr, skladování, zpracování). Při manipulaci s</w:t>
      </w:r>
      <w:r w:rsidR="00546698">
        <w:t> </w:t>
      </w:r>
      <w:r>
        <w:t>lithiovými bateriemi, resp. akumulátory, je třeba dodržovat zvláštní bezpečnostní opatření, aby nedošlo k</w:t>
      </w:r>
      <w:r w:rsidR="00546698">
        <w:t> </w:t>
      </w:r>
      <w:r>
        <w:t>požáru či výbuchu</w:t>
      </w:r>
      <w:r w:rsidR="007533BD">
        <w:t xml:space="preserve"> </w:t>
      </w:r>
      <w:r>
        <w:t xml:space="preserve">a ke kontaminaci životního prostředí. </w:t>
      </w:r>
    </w:p>
    <w:p w14:paraId="6EB85A7F" w14:textId="77777777" w:rsidR="001B4719" w:rsidRDefault="001B4719" w:rsidP="001B4719">
      <w:pPr>
        <w:jc w:val="both"/>
      </w:pPr>
      <w:r>
        <w:t>Je proto nezbytné, aby spolu s</w:t>
      </w:r>
      <w:r w:rsidR="00546698">
        <w:t> </w:t>
      </w:r>
      <w:r>
        <w:t>rozvojem elektromobility, byly dostatečně vyvinuté postupy, technické a</w:t>
      </w:r>
      <w:r w:rsidR="00546698">
        <w:t> </w:t>
      </w:r>
      <w:r>
        <w:t>organizační prostředky zabraňující bezpečnostním rizikům, která se vážou k</w:t>
      </w:r>
      <w:r w:rsidR="00546698">
        <w:t> </w:t>
      </w:r>
      <w:r>
        <w:t>využívání lithiových baterií a</w:t>
      </w:r>
      <w:r w:rsidR="00546698">
        <w:t> </w:t>
      </w:r>
      <w:r>
        <w:t>akumulátorů v</w:t>
      </w:r>
      <w:r w:rsidR="00546698">
        <w:t> </w:t>
      </w:r>
      <w:r>
        <w:t>elektromobilech.</w:t>
      </w:r>
    </w:p>
    <w:p w14:paraId="3174B9D1" w14:textId="77777777" w:rsidR="001B4719" w:rsidRPr="00FD7A23" w:rsidRDefault="001B4719" w:rsidP="001B4719">
      <w:pPr>
        <w:jc w:val="both"/>
        <w:rPr>
          <w:b/>
          <w:u w:val="single"/>
        </w:rPr>
      </w:pPr>
      <w:r w:rsidRPr="00FD7A23">
        <w:rPr>
          <w:b/>
          <w:u w:val="single"/>
        </w:rPr>
        <w:t>Dopad transpozice aktualizace směrnice 2009/33/ES o</w:t>
      </w:r>
      <w:r w:rsidR="00546698">
        <w:rPr>
          <w:b/>
          <w:u w:val="single"/>
        </w:rPr>
        <w:t> </w:t>
      </w:r>
      <w:r w:rsidRPr="00FD7A23">
        <w:rPr>
          <w:b/>
          <w:u w:val="single"/>
        </w:rPr>
        <w:t>čistých vozidel na financování MHD</w:t>
      </w:r>
    </w:p>
    <w:p w14:paraId="66094E2E" w14:textId="77777777" w:rsidR="001B4719" w:rsidRDefault="001B4719" w:rsidP="001B4719">
      <w:pPr>
        <w:jc w:val="both"/>
      </w:pPr>
      <w:r>
        <w:t>Transpozice aktualizace směrnice 2009/33/ES do české legislativy bude mít zásadní dopad na provoz a</w:t>
      </w:r>
      <w:r w:rsidR="00546698">
        <w:t> </w:t>
      </w:r>
      <w:r>
        <w:t>financování veřejné dopravy. V</w:t>
      </w:r>
      <w:r w:rsidR="00546698">
        <w:t> </w:t>
      </w:r>
      <w:r>
        <w:t>případě městské hromadné dopravy jde o</w:t>
      </w:r>
      <w:r w:rsidR="00546698">
        <w:t> </w:t>
      </w:r>
      <w:r>
        <w:t>zatížení městských rozpočtů, které lze na základě dostupných údajů poměrně přesně kvantifikovat pro celé období až do roku 2029.</w:t>
      </w:r>
    </w:p>
    <w:p w14:paraId="0E0930F3" w14:textId="77777777" w:rsidR="001B4719" w:rsidRDefault="001B4719" w:rsidP="001B4719">
      <w:pPr>
        <w:jc w:val="both"/>
      </w:pPr>
      <w:r>
        <w:t>V případě největšího provozovatele autobusové dopravy, DP hlavního města Prahy, který má plánovaný evidenční stav celkem 1 200 autobusů a</w:t>
      </w:r>
      <w:r w:rsidR="00546698">
        <w:t> </w:t>
      </w:r>
      <w:r>
        <w:t>předpokládá obnovu průměrně 10 % vozového parku ročně (120 autobusů celkem, z</w:t>
      </w:r>
      <w:r w:rsidR="00546698">
        <w:t> </w:t>
      </w:r>
      <w:r>
        <w:t>toho 50 kloubových a</w:t>
      </w:r>
      <w:r w:rsidR="00546698">
        <w:t> </w:t>
      </w:r>
      <w:r>
        <w:t>70 standardních či mi</w:t>
      </w:r>
      <w:r w:rsidR="007533BD">
        <w:t>n</w:t>
      </w:r>
      <w:r>
        <w:t>ibusů), činí potřeba investičních prostředků (vozidla i</w:t>
      </w:r>
      <w:r w:rsidR="00546698">
        <w:t> </w:t>
      </w:r>
      <w:r>
        <w:t>infrastruktura) dle požadavků transpozičního zákona v</w:t>
      </w:r>
      <w:r w:rsidR="00546698">
        <w:t> </w:t>
      </w:r>
      <w:r>
        <w:t>první etapě do roku 2025 každoročně 186 % stávajícího stavu (dosud jen naftové autobusy), tzn. nárůst z</w:t>
      </w:r>
      <w:r w:rsidR="00546698">
        <w:t> </w:t>
      </w:r>
      <w:r>
        <w:t>průměrně cca 710 mil. Kč na cca 1,32 mld. Kč ročně (v cenách roku 2018). V</w:t>
      </w:r>
      <w:r w:rsidR="00546698">
        <w:t> </w:t>
      </w:r>
      <w:r>
        <w:t>druhé etapě od roku 2025 roste roční potřeba investic na cca 1,6 mld. Kč, tedy 224 % stávajícího stavu. V</w:t>
      </w:r>
      <w:r w:rsidR="00546698">
        <w:t> </w:t>
      </w:r>
      <w:r>
        <w:t>prvním cca 4letém období se tedy jedná o</w:t>
      </w:r>
      <w:r w:rsidR="00546698">
        <w:t> </w:t>
      </w:r>
      <w:r>
        <w:t>navýšení investic DPP o</w:t>
      </w:r>
      <w:r w:rsidR="00546698">
        <w:t> </w:t>
      </w:r>
      <w:r>
        <w:t>2,44 mld. Kč a</w:t>
      </w:r>
      <w:r w:rsidR="00546698">
        <w:t> </w:t>
      </w:r>
      <w:r>
        <w:t>ve druhém o</w:t>
      </w:r>
      <w:r w:rsidR="00546698">
        <w:t> </w:t>
      </w:r>
      <w:r>
        <w:t xml:space="preserve">3,56 mld. </w:t>
      </w:r>
      <w:r>
        <w:lastRenderedPageBreak/>
        <w:t xml:space="preserve">Kč, tj. celkem 6 mld. Kč (včetně infrastruktury). Pokud by trolejbusy nebyly zahrnuty do transpozice směrnice, Praha by pro splnění kvót musela investovat ještě více, cca 8 mld. Kč. </w:t>
      </w:r>
    </w:p>
    <w:p w14:paraId="11A7A5E2" w14:textId="77777777" w:rsidR="001B4719" w:rsidRDefault="001B4719" w:rsidP="001B4719">
      <w:pPr>
        <w:jc w:val="both"/>
      </w:pPr>
      <w:r>
        <w:t>Pro ostatní velká města ČR byl vytvořen zjednodušený model dopadu směrnice do obnovy vozového parku ve městech sdružených ve SDP ČR (kromě Prahy). Model vychází z</w:t>
      </w:r>
      <w:r w:rsidR="00546698">
        <w:t> </w:t>
      </w:r>
      <w:r>
        <w:t>předpokladu rovnoměrné obnovy vozového parku, kdy se za každé čtyřleté období obnoví třetina vozového parku autobusů (životnost 12 let) a</w:t>
      </w:r>
      <w:r w:rsidR="00546698">
        <w:t> </w:t>
      </w:r>
      <w:r>
        <w:t>čtvrtina trolejbusového (životnost 16 let), přičemž budou pořizována množství vozidel v</w:t>
      </w:r>
      <w:r w:rsidR="00546698">
        <w:t> </w:t>
      </w:r>
      <w:r>
        <w:t>minimálním množství dle směrnice (tzv. čistá vozidla a</w:t>
      </w:r>
      <w:r w:rsidR="00546698">
        <w:t> </w:t>
      </w:r>
      <w:r>
        <w:t>bezemisní dle příslušných kvót. Dále je předpokládáno, že česká města minimálně zachovají ve stávajícím rozsahu trolejbusové provozy. Nejvýznamnějším předpokladem je, že česká transpozice směrnice musí započítat trolejbusy jako čistá bezemisní vozidla do kvót obnovy vozového parku. V</w:t>
      </w:r>
      <w:r w:rsidR="00546698">
        <w:t> </w:t>
      </w:r>
      <w:r>
        <w:t>tom případě dopad směrnice na obnovu vozidel bude činit v</w:t>
      </w:r>
      <w:r w:rsidR="00546698">
        <w:t> </w:t>
      </w:r>
      <w:r>
        <w:t>období 2021</w:t>
      </w:r>
      <w:r w:rsidR="00CC212B">
        <w:t xml:space="preserve"> </w:t>
      </w:r>
      <w:r>
        <w:t>-</w:t>
      </w:r>
      <w:r w:rsidR="00CC212B">
        <w:t xml:space="preserve"> </w:t>
      </w:r>
      <w:r>
        <w:t>2029 min. 1,22 mld. Kč a</w:t>
      </w:r>
      <w:r w:rsidR="00546698">
        <w:t> </w:t>
      </w:r>
      <w:r>
        <w:t>s tím spojený nárůst investic do infrastruktury ve výši 1,6 mld. Kč. Celkový dopad národní transpozice směrnice 2009/33/ES zahrnující trolejbusy tedy bude nárůst investic min. 2,8 mld. Kč bez Prahy. (V opačném případě, tj. nezahrnutí trolejbusů do transpozice směrnice, dopad na města do roku 2029 bude nárůst investic min. 4,4 mld. Kč, tj. o</w:t>
      </w:r>
      <w:r w:rsidR="00546698">
        <w:t> </w:t>
      </w:r>
      <w:r>
        <w:t xml:space="preserve">dalších 1,6 mld. Kč více.) </w:t>
      </w:r>
    </w:p>
    <w:p w14:paraId="67938D24" w14:textId="77777777" w:rsidR="001B4719" w:rsidRDefault="001B4719" w:rsidP="001B4719">
      <w:pPr>
        <w:jc w:val="both"/>
      </w:pPr>
      <w:r>
        <w:t>Finanční odhad pro všech 20 měst s</w:t>
      </w:r>
      <w:r w:rsidR="00546698">
        <w:t> </w:t>
      </w:r>
      <w:r>
        <w:t>největšími provozy MHD včetně Prahy tedy ukazuje, že směrnice 2009/33/ES vyvolá navýšení investic do vozidel a</w:t>
      </w:r>
      <w:r w:rsidR="00546698">
        <w:t> </w:t>
      </w:r>
      <w:r>
        <w:t>infrastruktury o</w:t>
      </w:r>
      <w:r w:rsidR="00546698">
        <w:t> </w:t>
      </w:r>
      <w:r>
        <w:t>8,8 mld. Kč, pokud bude zahrnovat nákup trolejbusů. V</w:t>
      </w:r>
      <w:r w:rsidR="00546698">
        <w:t> </w:t>
      </w:r>
      <w:r>
        <w:t>případě nezapočítání trolejbusů do plnění kvót by navýšení investic oproti současnému stavu činilo 12,4 mld. Kč.</w:t>
      </w:r>
    </w:p>
    <w:p w14:paraId="229A8734" w14:textId="77777777" w:rsidR="001B4719" w:rsidRDefault="001B4719" w:rsidP="001B4719">
      <w:pPr>
        <w:jc w:val="both"/>
      </w:pPr>
      <w:r>
        <w:t>Pro zajištění povinného podílu zcela bezemisních vozidel v</w:t>
      </w:r>
      <w:r w:rsidR="00546698">
        <w:t> </w:t>
      </w:r>
      <w:r>
        <w:t>podmínkách ČR je tedy nezbytně nutné, aby do podílů stanovených pro bezemisní vozidla byly započítávány také trolejbusy a</w:t>
      </w:r>
      <w:r w:rsidR="00546698">
        <w:t> </w:t>
      </w:r>
      <w:r>
        <w:t>bateriové trolejbusy, ačkoliv jsou legislativně v</w:t>
      </w:r>
      <w:r w:rsidR="00546698">
        <w:t> </w:t>
      </w:r>
      <w:r>
        <w:t>ČR drážní a</w:t>
      </w:r>
      <w:r w:rsidR="00546698">
        <w:t> </w:t>
      </w:r>
      <w:r>
        <w:t>nikoliv silniční. Evropská legislativa toto připouští (a novela nařízení částečně předjímá), neboť ve většině zemí EU je trolejbus a</w:t>
      </w:r>
      <w:r w:rsidR="00546698">
        <w:t> </w:t>
      </w:r>
      <w:r>
        <w:t>bateriový trolejbus legislativně silniční vozidlo. Opak by znamenal, že pokud město pomocí dynamicky dobíjených trolejbusů nahradí významnou část flotily dieselových autobusů, tak navzdory rozsáhlým investicím nepřispěje ani jedním vozidlem k</w:t>
      </w:r>
      <w:r w:rsidR="00546698">
        <w:t> </w:t>
      </w:r>
      <w:r>
        <w:t>plnění povinných kvót. Z</w:t>
      </w:r>
      <w:r w:rsidR="00546698">
        <w:t> </w:t>
      </w:r>
      <w:r>
        <w:t>hlediska ČR by šlo o</w:t>
      </w:r>
      <w:r w:rsidR="00546698">
        <w:t> </w:t>
      </w:r>
      <w:r>
        <w:t>bezdůvodné významné snížení schopnosti naplňovat závazky směrnice 2009/33/ES.</w:t>
      </w:r>
    </w:p>
    <w:p w14:paraId="1D41A9AA" w14:textId="77777777" w:rsidR="00910690" w:rsidRDefault="001B4719" w:rsidP="00910690">
      <w:pPr>
        <w:jc w:val="both"/>
      </w:pPr>
      <w:r>
        <w:t>V návaznosti na připravované legislativní závazky v</w:t>
      </w:r>
      <w:r w:rsidR="00546698">
        <w:t> </w:t>
      </w:r>
      <w:r>
        <w:t>oblasti pořizování čistých (bezemisních) vozidel a</w:t>
      </w:r>
      <w:r w:rsidR="00546698">
        <w:t> </w:t>
      </w:r>
      <w:r>
        <w:t>investic do příslušné dobíjecí a</w:t>
      </w:r>
      <w:r w:rsidR="00546698">
        <w:t> </w:t>
      </w:r>
      <w:r>
        <w:t>napájecí infrastruktury bude nutné dořešit otázku nastavení finanční podpory v</w:t>
      </w:r>
      <w:r w:rsidR="00546698">
        <w:t> </w:t>
      </w:r>
      <w:r>
        <w:t>souvislosti s</w:t>
      </w:r>
      <w:r w:rsidR="00546698">
        <w:t> </w:t>
      </w:r>
      <w:r>
        <w:t>vyššími investičními i</w:t>
      </w:r>
      <w:r w:rsidR="00546698">
        <w:t> </w:t>
      </w:r>
      <w:r>
        <w:t xml:space="preserve">provozními náklady, které budou muset zohledňovat městské rozpočty. </w:t>
      </w:r>
      <w:bookmarkStart w:id="227" w:name="_Toc12540143"/>
    </w:p>
    <w:p w14:paraId="7B169514" w14:textId="77777777" w:rsidR="00910690" w:rsidRDefault="00910690" w:rsidP="00910690">
      <w:pPr>
        <w:jc w:val="both"/>
      </w:pPr>
      <w:bookmarkStart w:id="228" w:name="_Toc25067653"/>
      <w:bookmarkStart w:id="229" w:name="_Toc25084471"/>
      <w:bookmarkStart w:id="230" w:name="_Toc25136796"/>
      <w:bookmarkStart w:id="231" w:name="_Toc19792324"/>
      <w:bookmarkStart w:id="232" w:name="_Ref20302743"/>
      <w:bookmarkEnd w:id="227"/>
    </w:p>
    <w:p w14:paraId="2C62148E" w14:textId="77777777" w:rsidR="001B4719" w:rsidRPr="00255A20" w:rsidRDefault="001B4719" w:rsidP="00910690">
      <w:pPr>
        <w:jc w:val="both"/>
      </w:pPr>
      <w:r>
        <w:t>Základní skupiny opatření</w:t>
      </w:r>
      <w:bookmarkEnd w:id="228"/>
      <w:bookmarkEnd w:id="229"/>
      <w:bookmarkEnd w:id="230"/>
    </w:p>
    <w:p w14:paraId="49BB61D4" w14:textId="77777777" w:rsidR="001B4719" w:rsidRPr="00045F42" w:rsidRDefault="001B4719" w:rsidP="001B4719">
      <w:pPr>
        <w:pStyle w:val="Odstavecseseznamem"/>
        <w:numPr>
          <w:ilvl w:val="0"/>
          <w:numId w:val="18"/>
        </w:numPr>
        <w:spacing w:after="0"/>
        <w:contextualSpacing w:val="0"/>
        <w:jc w:val="both"/>
        <w:rPr>
          <w:rFonts w:cs="Arial"/>
          <w:szCs w:val="22"/>
          <w:u w:val="single"/>
        </w:rPr>
      </w:pPr>
      <w:r w:rsidRPr="00045F42">
        <w:rPr>
          <w:rFonts w:cs="Arial"/>
          <w:szCs w:val="22"/>
          <w:u w:val="single"/>
        </w:rPr>
        <w:t>Podpora výstavby dobíjecí infrastruktury i</w:t>
      </w:r>
      <w:r w:rsidR="00546698">
        <w:rPr>
          <w:rFonts w:cs="Arial"/>
          <w:szCs w:val="22"/>
          <w:u w:val="single"/>
        </w:rPr>
        <w:t> </w:t>
      </w:r>
      <w:r w:rsidRPr="00045F42">
        <w:rPr>
          <w:rFonts w:cs="Arial"/>
          <w:szCs w:val="22"/>
          <w:u w:val="single"/>
        </w:rPr>
        <w:t>po roce 2020</w:t>
      </w:r>
    </w:p>
    <w:p w14:paraId="34A4DE7A" w14:textId="77777777" w:rsidR="001B4719" w:rsidRPr="00045F42" w:rsidRDefault="001B4719" w:rsidP="001B4719">
      <w:pPr>
        <w:pStyle w:val="Odrkyabc"/>
        <w:numPr>
          <w:ilvl w:val="0"/>
          <w:numId w:val="33"/>
        </w:numPr>
        <w:jc w:val="both"/>
      </w:pPr>
      <w:r w:rsidRPr="00045F42">
        <w:t>Investiční podpora veřejné</w:t>
      </w:r>
      <w:r>
        <w:t xml:space="preserve"> i</w:t>
      </w:r>
      <w:r w:rsidR="00546698">
        <w:t> </w:t>
      </w:r>
      <w:r>
        <w:t>poloveřejné</w:t>
      </w:r>
      <w:r w:rsidRPr="00045F42">
        <w:t xml:space="preserve"> dobíjecí infrastruktury</w:t>
      </w:r>
    </w:p>
    <w:p w14:paraId="33F7CDB5" w14:textId="77777777" w:rsidR="001B4719" w:rsidRPr="00045F42" w:rsidRDefault="001B4719" w:rsidP="001B4719">
      <w:pPr>
        <w:ind w:left="709"/>
        <w:jc w:val="both"/>
        <w:rPr>
          <w:rFonts w:cs="Arial"/>
          <w:szCs w:val="22"/>
        </w:rPr>
      </w:pPr>
      <w:r>
        <w:rPr>
          <w:rFonts w:cs="Arial"/>
          <w:szCs w:val="22"/>
        </w:rPr>
        <w:t>M</w:t>
      </w:r>
      <w:r w:rsidRPr="00045F42">
        <w:rPr>
          <w:rFonts w:cs="Arial"/>
          <w:szCs w:val="22"/>
        </w:rPr>
        <w:t>ezi roky 2020</w:t>
      </w:r>
      <w:r>
        <w:rPr>
          <w:rFonts w:cs="Arial"/>
          <w:szCs w:val="22"/>
        </w:rPr>
        <w:t xml:space="preserve"> </w:t>
      </w:r>
      <w:r w:rsidRPr="00045F42">
        <w:rPr>
          <w:rFonts w:cs="Arial"/>
          <w:szCs w:val="22"/>
        </w:rPr>
        <w:t>-</w:t>
      </w:r>
      <w:r>
        <w:rPr>
          <w:rFonts w:cs="Arial"/>
          <w:szCs w:val="22"/>
        </w:rPr>
        <w:t xml:space="preserve"> </w:t>
      </w:r>
      <w:r w:rsidRPr="00045F42">
        <w:rPr>
          <w:rFonts w:cs="Arial"/>
          <w:szCs w:val="22"/>
        </w:rPr>
        <w:t>2030 lze očekávat výrazný nárůst trhu s</w:t>
      </w:r>
      <w:r w:rsidR="00546698">
        <w:rPr>
          <w:rFonts w:cs="Arial"/>
          <w:szCs w:val="22"/>
        </w:rPr>
        <w:t> </w:t>
      </w:r>
      <w:r w:rsidRPr="00045F42">
        <w:rPr>
          <w:rFonts w:cs="Arial"/>
          <w:szCs w:val="22"/>
        </w:rPr>
        <w:t>elektromobily spojený s</w:t>
      </w:r>
      <w:r w:rsidR="00546698">
        <w:rPr>
          <w:rFonts w:cs="Arial"/>
          <w:szCs w:val="22"/>
        </w:rPr>
        <w:t> </w:t>
      </w:r>
      <w:r w:rsidRPr="00045F42">
        <w:rPr>
          <w:rFonts w:cs="Arial"/>
          <w:szCs w:val="22"/>
        </w:rPr>
        <w:t>tlakem na další zrychlení zahušťovací výstavby a</w:t>
      </w:r>
      <w:r w:rsidR="00546698">
        <w:rPr>
          <w:rFonts w:cs="Arial"/>
          <w:szCs w:val="22"/>
        </w:rPr>
        <w:t> </w:t>
      </w:r>
      <w:r w:rsidRPr="00045F42">
        <w:rPr>
          <w:rFonts w:cs="Arial"/>
          <w:szCs w:val="22"/>
        </w:rPr>
        <w:t>současně instalací výkonnějších typů dobíjecích stanic. Oba tyto vlivy budou mít negativní dopad do ekonomiky provozu sítí dobíjecích stanic (síť bude i</w:t>
      </w:r>
      <w:r w:rsidR="00546698">
        <w:rPr>
          <w:rFonts w:cs="Arial"/>
          <w:szCs w:val="22"/>
        </w:rPr>
        <w:t> </w:t>
      </w:r>
      <w:r w:rsidRPr="00045F42">
        <w:rPr>
          <w:rFonts w:cs="Arial"/>
          <w:szCs w:val="22"/>
        </w:rPr>
        <w:t>nadále předbíhat trh) a</w:t>
      </w:r>
      <w:r w:rsidR="00546698">
        <w:rPr>
          <w:rFonts w:cs="Arial"/>
          <w:szCs w:val="22"/>
        </w:rPr>
        <w:t> </w:t>
      </w:r>
      <w:r w:rsidRPr="00045F42">
        <w:rPr>
          <w:rFonts w:cs="Arial"/>
          <w:szCs w:val="22"/>
        </w:rPr>
        <w:t>investiční podpora tak bude mít i</w:t>
      </w:r>
      <w:r w:rsidR="00546698">
        <w:rPr>
          <w:rFonts w:cs="Arial"/>
          <w:szCs w:val="22"/>
        </w:rPr>
        <w:t> </w:t>
      </w:r>
      <w:r w:rsidRPr="00045F42">
        <w:rPr>
          <w:rFonts w:cs="Arial"/>
          <w:szCs w:val="22"/>
        </w:rPr>
        <w:t xml:space="preserve">nadále svoje opodstatnění. Podpora by se měla zaměřit </w:t>
      </w:r>
      <w:r>
        <w:rPr>
          <w:rFonts w:cs="Arial"/>
          <w:szCs w:val="22"/>
        </w:rPr>
        <w:t>na</w:t>
      </w:r>
      <w:r w:rsidRPr="00045F42">
        <w:rPr>
          <w:rFonts w:cs="Arial"/>
          <w:szCs w:val="22"/>
        </w:rPr>
        <w:t xml:space="preserve"> výstavbu dobíjecích stanic s</w:t>
      </w:r>
      <w:r w:rsidR="00546698">
        <w:rPr>
          <w:rFonts w:cs="Arial"/>
          <w:szCs w:val="22"/>
        </w:rPr>
        <w:t> </w:t>
      </w:r>
      <w:r w:rsidRPr="00045F42">
        <w:rPr>
          <w:rFonts w:cs="Arial"/>
          <w:szCs w:val="22"/>
        </w:rPr>
        <w:t>velmi vysokými výkony a</w:t>
      </w:r>
      <w:r w:rsidR="00546698">
        <w:rPr>
          <w:rFonts w:cs="Arial"/>
          <w:szCs w:val="22"/>
        </w:rPr>
        <w:t> </w:t>
      </w:r>
      <w:r w:rsidRPr="00045F42">
        <w:rPr>
          <w:rFonts w:cs="Arial"/>
          <w:szCs w:val="22"/>
        </w:rPr>
        <w:t>dobíjecích hubů v</w:t>
      </w:r>
      <w:r w:rsidR="00546698">
        <w:rPr>
          <w:rFonts w:cs="Arial"/>
          <w:szCs w:val="22"/>
        </w:rPr>
        <w:t> </w:t>
      </w:r>
      <w:r w:rsidRPr="00045F42">
        <w:rPr>
          <w:rFonts w:cs="Arial"/>
          <w:szCs w:val="22"/>
        </w:rPr>
        <w:t>místech s</w:t>
      </w:r>
      <w:r w:rsidR="00546698">
        <w:rPr>
          <w:rFonts w:cs="Arial"/>
          <w:szCs w:val="22"/>
        </w:rPr>
        <w:t> </w:t>
      </w:r>
      <w:r w:rsidRPr="00045F42">
        <w:rPr>
          <w:rFonts w:cs="Arial"/>
          <w:szCs w:val="22"/>
        </w:rPr>
        <w:t>vysokou očekávanou poptávkou po dobíjení s</w:t>
      </w:r>
      <w:r w:rsidR="00546698">
        <w:rPr>
          <w:rFonts w:cs="Arial"/>
          <w:szCs w:val="22"/>
        </w:rPr>
        <w:t> </w:t>
      </w:r>
      <w:r w:rsidRPr="00045F42">
        <w:rPr>
          <w:rFonts w:cs="Arial"/>
          <w:szCs w:val="22"/>
        </w:rPr>
        <w:t>možností komplexních řešení včetně</w:t>
      </w:r>
      <w:r>
        <w:rPr>
          <w:rFonts w:cs="Arial"/>
          <w:szCs w:val="22"/>
        </w:rPr>
        <w:t xml:space="preserve"> trafostanic a</w:t>
      </w:r>
      <w:r w:rsidR="00546698">
        <w:rPr>
          <w:rFonts w:cs="Arial"/>
          <w:szCs w:val="22"/>
        </w:rPr>
        <w:t> </w:t>
      </w:r>
      <w:r w:rsidRPr="00045F42">
        <w:rPr>
          <w:rFonts w:cs="Arial"/>
          <w:szCs w:val="22"/>
        </w:rPr>
        <w:t>akumulačních systémů. Měla by také umožnit větší míru flexibility tak, aby dokázala reagovat na vývoj trhu a</w:t>
      </w:r>
      <w:r w:rsidR="00546698">
        <w:rPr>
          <w:rFonts w:cs="Arial"/>
          <w:szCs w:val="22"/>
        </w:rPr>
        <w:t> </w:t>
      </w:r>
      <w:r w:rsidRPr="00045F42">
        <w:rPr>
          <w:rFonts w:cs="Arial"/>
          <w:szCs w:val="22"/>
        </w:rPr>
        <w:t>jeho potřeb, vč</w:t>
      </w:r>
      <w:r>
        <w:rPr>
          <w:rFonts w:cs="Arial"/>
          <w:szCs w:val="22"/>
        </w:rPr>
        <w:t>etně</w:t>
      </w:r>
      <w:r w:rsidRPr="00045F42">
        <w:rPr>
          <w:rFonts w:cs="Arial"/>
          <w:szCs w:val="22"/>
        </w:rPr>
        <w:t xml:space="preserve"> např. možnosti rozšiřování stávajících lokalit s</w:t>
      </w:r>
      <w:r w:rsidR="00546698">
        <w:rPr>
          <w:rFonts w:cs="Arial"/>
          <w:szCs w:val="22"/>
        </w:rPr>
        <w:t> </w:t>
      </w:r>
      <w:r w:rsidRPr="00045F42">
        <w:rPr>
          <w:rFonts w:cs="Arial"/>
          <w:szCs w:val="22"/>
        </w:rPr>
        <w:t>dobíjecími stanicemi, dimenzování dobíjecích lokalit tak, aby umožňovaly další rozšiřování, relokace dobíjecích stanic a</w:t>
      </w:r>
      <w:r w:rsidR="00546698">
        <w:rPr>
          <w:rFonts w:cs="Arial"/>
          <w:szCs w:val="22"/>
        </w:rPr>
        <w:t> </w:t>
      </w:r>
      <w:r w:rsidRPr="00045F42">
        <w:rPr>
          <w:rFonts w:cs="Arial"/>
          <w:szCs w:val="22"/>
        </w:rPr>
        <w:t>podobně.</w:t>
      </w:r>
    </w:p>
    <w:p w14:paraId="449B54FF" w14:textId="77777777" w:rsidR="001B4719" w:rsidRPr="00045F42" w:rsidRDefault="00F32C3F" w:rsidP="00F32C3F">
      <w:pPr>
        <w:pStyle w:val="odrkaa"/>
      </w:pPr>
      <w:r w:rsidRPr="00F32C3F">
        <w:t>Narovnání provozních podmínek při připojení veřejné a poloveřejné dobíjecí infrastruktury z</w:t>
      </w:r>
      <w:r w:rsidR="00CC212B">
        <w:t> </w:t>
      </w:r>
      <w:r w:rsidRPr="00F32C3F">
        <w:t>distribuční hladiny nízkého a vysokého napětí</w:t>
      </w:r>
    </w:p>
    <w:p w14:paraId="161895FA" w14:textId="77777777" w:rsidR="001B4719" w:rsidRPr="00045F42" w:rsidRDefault="00F32C3F" w:rsidP="001B4719">
      <w:pPr>
        <w:ind w:left="709"/>
        <w:jc w:val="both"/>
        <w:rPr>
          <w:rFonts w:cs="Arial"/>
          <w:szCs w:val="22"/>
        </w:rPr>
      </w:pPr>
      <w:r w:rsidRPr="00F32C3F">
        <w:rPr>
          <w:rFonts w:cs="Arial"/>
          <w:szCs w:val="22"/>
        </w:rPr>
        <w:t>V současné době, při nízkém vytížení dobíjecích stanic, což je realita málo rozvinutého elektromobilního trhu, nejsou srovnatelné „cenové“ podmínky pro platby provozovatelů veřejné a poloveřejné dobíjecí infrastruktury připojené z distribuční hladiny nízkého a</w:t>
      </w:r>
      <w:r w:rsidR="00CC212B">
        <w:rPr>
          <w:rFonts w:cs="Arial"/>
          <w:szCs w:val="22"/>
        </w:rPr>
        <w:t> </w:t>
      </w:r>
      <w:r w:rsidRPr="00F32C3F">
        <w:rPr>
          <w:rFonts w:cs="Arial"/>
          <w:szCs w:val="22"/>
        </w:rPr>
        <w:t xml:space="preserve">vysokého napětí za využívání distribučních sítí, když o způsobu připojení (zda z hladiny </w:t>
      </w:r>
      <w:r w:rsidRPr="00F32C3F">
        <w:rPr>
          <w:rFonts w:cs="Arial"/>
          <w:szCs w:val="22"/>
        </w:rPr>
        <w:lastRenderedPageBreak/>
        <w:t>nízkého či vysokého napětí) provozovatel dobíjecí infrastruktury v zásadě nerozhoduje. Vhodnou úpravou hranice ročního využití rezervované kapacity pro výběr mezi jednosložkovou a dvousložkovou cenou za distribuci na napěťové hladině vysokého napětí (využitelnou pro jakéhokoliv uživatele sítí vysokého napětí) se odstraní popsané nerovné podmínky a „diskriminace“ dobíjecí infrastruktury připojené z distribuční hladiny vysokého napětí.</w:t>
      </w:r>
    </w:p>
    <w:p w14:paraId="483E5B68" w14:textId="77777777" w:rsidR="001B4719" w:rsidRPr="00045F42" w:rsidRDefault="001B4719" w:rsidP="001B4719">
      <w:pPr>
        <w:pStyle w:val="odrkaa"/>
        <w:jc w:val="both"/>
      </w:pPr>
      <w:r w:rsidRPr="00045F42">
        <w:t xml:space="preserve">Podpora neveřejné </w:t>
      </w:r>
      <w:r>
        <w:t xml:space="preserve">dobíjecí </w:t>
      </w:r>
      <w:r w:rsidRPr="00045F42">
        <w:t>infrastruktury</w:t>
      </w:r>
    </w:p>
    <w:p w14:paraId="1B45787B" w14:textId="77777777" w:rsidR="001B4719" w:rsidRPr="00045F42" w:rsidRDefault="001B4719" w:rsidP="001B4719">
      <w:pPr>
        <w:ind w:left="709"/>
        <w:jc w:val="both"/>
        <w:rPr>
          <w:rFonts w:cs="Arial"/>
          <w:szCs w:val="22"/>
        </w:rPr>
      </w:pPr>
      <w:r w:rsidRPr="00045F42">
        <w:rPr>
          <w:rFonts w:cs="Arial"/>
          <w:szCs w:val="22"/>
        </w:rPr>
        <w:t>I v</w:t>
      </w:r>
      <w:r w:rsidR="00546698">
        <w:rPr>
          <w:rFonts w:cs="Arial"/>
          <w:szCs w:val="22"/>
        </w:rPr>
        <w:t> </w:t>
      </w:r>
      <w:r w:rsidRPr="00045F42">
        <w:rPr>
          <w:rFonts w:cs="Arial"/>
          <w:szCs w:val="22"/>
        </w:rPr>
        <w:t>dalším programov</w:t>
      </w:r>
      <w:r>
        <w:rPr>
          <w:rFonts w:cs="Arial"/>
          <w:szCs w:val="22"/>
        </w:rPr>
        <w:t>ém</w:t>
      </w:r>
      <w:r w:rsidRPr="00045F42">
        <w:rPr>
          <w:rFonts w:cs="Arial"/>
          <w:szCs w:val="22"/>
        </w:rPr>
        <w:t xml:space="preserve"> období by měla pokračovat podpora neveřejné dobíjecí infrastruktury, případně by měly vzniknout nové formáty podpory (např. MHD, podnikatelská sféra vč. hl.</w:t>
      </w:r>
      <w:r>
        <w:rPr>
          <w:rFonts w:cs="Arial"/>
          <w:szCs w:val="22"/>
        </w:rPr>
        <w:t xml:space="preserve"> </w:t>
      </w:r>
      <w:r w:rsidRPr="00045F42">
        <w:rPr>
          <w:rFonts w:cs="Arial"/>
          <w:szCs w:val="22"/>
        </w:rPr>
        <w:t>m.</w:t>
      </w:r>
      <w:r>
        <w:rPr>
          <w:rFonts w:cs="Arial"/>
          <w:szCs w:val="22"/>
        </w:rPr>
        <w:t xml:space="preserve"> </w:t>
      </w:r>
      <w:r w:rsidRPr="00045F42">
        <w:rPr>
          <w:rFonts w:cs="Arial"/>
          <w:szCs w:val="22"/>
        </w:rPr>
        <w:t>Prahy, domácnosti a</w:t>
      </w:r>
      <w:r w:rsidR="00546698">
        <w:rPr>
          <w:rFonts w:cs="Arial"/>
          <w:szCs w:val="22"/>
        </w:rPr>
        <w:t> </w:t>
      </w:r>
      <w:r w:rsidRPr="00045F42">
        <w:rPr>
          <w:rFonts w:cs="Arial"/>
          <w:szCs w:val="22"/>
        </w:rPr>
        <w:t>bytové domy), které usnadní rozvoj elektromobility (sníží dodatečné náklady pro uživatele) a</w:t>
      </w:r>
      <w:r w:rsidR="00546698">
        <w:rPr>
          <w:rFonts w:cs="Arial"/>
          <w:szCs w:val="22"/>
        </w:rPr>
        <w:t> </w:t>
      </w:r>
      <w:r w:rsidRPr="00045F42">
        <w:rPr>
          <w:rFonts w:cs="Arial"/>
          <w:szCs w:val="22"/>
        </w:rPr>
        <w:t>současně umožní požadovat takové technické řešení, které je šetrné z</w:t>
      </w:r>
      <w:r w:rsidR="00546698">
        <w:rPr>
          <w:rFonts w:cs="Arial"/>
          <w:szCs w:val="22"/>
        </w:rPr>
        <w:t> </w:t>
      </w:r>
      <w:r w:rsidRPr="00045F42">
        <w:rPr>
          <w:rFonts w:cs="Arial"/>
          <w:szCs w:val="22"/>
        </w:rPr>
        <w:t>pohledu distribuční soustavy</w:t>
      </w:r>
      <w:r>
        <w:rPr>
          <w:rFonts w:cs="Arial"/>
          <w:szCs w:val="22"/>
        </w:rPr>
        <w:t>,</w:t>
      </w:r>
      <w:r w:rsidRPr="00045F42">
        <w:rPr>
          <w:rFonts w:cs="Arial"/>
          <w:szCs w:val="22"/>
        </w:rPr>
        <w:t xml:space="preserve"> čímž dojde ke snížení možných rizik spojených s</w:t>
      </w:r>
      <w:r w:rsidR="00546698">
        <w:rPr>
          <w:rFonts w:cs="Arial"/>
          <w:szCs w:val="22"/>
        </w:rPr>
        <w:t> </w:t>
      </w:r>
      <w:r w:rsidRPr="00045F42">
        <w:rPr>
          <w:rFonts w:cs="Arial"/>
          <w:szCs w:val="22"/>
        </w:rPr>
        <w:t>dopady elektromobility na stabilitu energetických sítí.</w:t>
      </w:r>
    </w:p>
    <w:p w14:paraId="532BB60A" w14:textId="77777777" w:rsidR="001B4719" w:rsidRDefault="001B4719" w:rsidP="001B4719">
      <w:pPr>
        <w:pStyle w:val="odrkaa"/>
        <w:jc w:val="both"/>
      </w:pPr>
      <w:r>
        <w:t>Podpora dobíjecí infrastruktury pro MHD</w:t>
      </w:r>
    </w:p>
    <w:p w14:paraId="4EF36FAE" w14:textId="77777777" w:rsidR="001B4719" w:rsidRDefault="001B4719" w:rsidP="001B4719">
      <w:pPr>
        <w:pStyle w:val="odrkaa"/>
        <w:numPr>
          <w:ilvl w:val="0"/>
          <w:numId w:val="0"/>
        </w:numPr>
        <w:ind w:left="680"/>
        <w:jc w:val="both"/>
      </w:pPr>
      <w:r>
        <w:t>Specifickým segmentem elektromobility je využití v</w:t>
      </w:r>
      <w:r w:rsidR="00546698">
        <w:t> </w:t>
      </w:r>
      <w:r>
        <w:t>rámci MHD, kdy lze maximálně vytěžit výhody lokálně bezemisního provozu. V</w:t>
      </w:r>
      <w:r w:rsidR="00546698">
        <w:t> </w:t>
      </w:r>
      <w:r>
        <w:t>souvislosti s</w:t>
      </w:r>
      <w:r w:rsidR="00546698">
        <w:t> </w:t>
      </w:r>
      <w:r>
        <w:t>regulatorním tlakem (směrnice o</w:t>
      </w:r>
      <w:r w:rsidR="00546698">
        <w:t> </w:t>
      </w:r>
      <w:r>
        <w:t xml:space="preserve">čistých vozidlech) lze očekávat potřebu zajištění dobíjení vysokých výkonů, které by mělo být taktéž předmětem podpory (tj. nejen vozidla). </w:t>
      </w:r>
      <w:r w:rsidRPr="00733DC8">
        <w:t xml:space="preserve">Pro rozvoj bezemisní MHD je klíčová dlouhodobá investiční podpora budování </w:t>
      </w:r>
      <w:r>
        <w:t>do</w:t>
      </w:r>
      <w:r w:rsidRPr="00733DC8">
        <w:t>bíjecí infrastruktury pro MHD včetně trolejbusové trakce pro dynamické a</w:t>
      </w:r>
      <w:r w:rsidR="00546698">
        <w:t> </w:t>
      </w:r>
      <w:r w:rsidRPr="00733DC8">
        <w:t xml:space="preserve">statické dvoupólové </w:t>
      </w:r>
      <w:r>
        <w:t>do</w:t>
      </w:r>
      <w:r w:rsidRPr="00733DC8">
        <w:t>bíjení.</w:t>
      </w:r>
    </w:p>
    <w:p w14:paraId="6C103C14" w14:textId="77777777" w:rsidR="001B4719" w:rsidRDefault="001B4719" w:rsidP="001B4719">
      <w:pPr>
        <w:pStyle w:val="odrkaa"/>
        <w:jc w:val="both"/>
      </w:pPr>
      <w:r>
        <w:t>Podpora lokální výroby z</w:t>
      </w:r>
      <w:r w:rsidR="00546698">
        <w:t> </w:t>
      </w:r>
      <w:r>
        <w:t>OZE pro dobíjení elektromobilů</w:t>
      </w:r>
    </w:p>
    <w:p w14:paraId="45DDAB40" w14:textId="77777777" w:rsidR="001B4719" w:rsidRDefault="001B4719" w:rsidP="001B4719">
      <w:pPr>
        <w:pStyle w:val="odrkaa"/>
        <w:numPr>
          <w:ilvl w:val="0"/>
          <w:numId w:val="0"/>
        </w:numPr>
        <w:ind w:left="680"/>
        <w:jc w:val="both"/>
      </w:pPr>
      <w:r>
        <w:t>K plnění cíle OZE v</w:t>
      </w:r>
      <w:r w:rsidR="00546698">
        <w:t> </w:t>
      </w:r>
      <w:r>
        <w:t>dopravě může přispět to, bude-li elektřina pro dobíjení vyráběna z</w:t>
      </w:r>
      <w:r w:rsidR="00546698">
        <w:t> </w:t>
      </w:r>
      <w:r>
        <w:t>OZE. V</w:t>
      </w:r>
      <w:r w:rsidR="00546698">
        <w:t> </w:t>
      </w:r>
      <w:r>
        <w:t>určitých segmentech trhu může být lokální výroba z</w:t>
      </w:r>
      <w:r w:rsidR="00546698">
        <w:t> </w:t>
      </w:r>
      <w:r>
        <w:t>OZE velmi efektivně kombinována právě s</w:t>
      </w:r>
      <w:r w:rsidR="00546698">
        <w:t> </w:t>
      </w:r>
      <w:r>
        <w:t>dobíjením (za podmínky využití akumulace). Je třeba analyzovat potenciál možných řešení a</w:t>
      </w:r>
      <w:r w:rsidR="00546698">
        <w:t> </w:t>
      </w:r>
      <w:r>
        <w:t>navrhnout odpovídající opatření nebo nástroje.</w:t>
      </w:r>
    </w:p>
    <w:p w14:paraId="63FF83F3" w14:textId="77777777" w:rsidR="001B4719" w:rsidRPr="00045F42" w:rsidRDefault="001B4719" w:rsidP="001B4719">
      <w:pPr>
        <w:pStyle w:val="odrkaa"/>
        <w:jc w:val="both"/>
      </w:pPr>
      <w:r w:rsidRPr="00045F42">
        <w:t xml:space="preserve">Zjednodušení </w:t>
      </w:r>
      <w:r>
        <w:t xml:space="preserve">povolování </w:t>
      </w:r>
      <w:r w:rsidRPr="00045F42">
        <w:t>výstavby</w:t>
      </w:r>
      <w:r>
        <w:t xml:space="preserve"> a</w:t>
      </w:r>
      <w:r w:rsidR="00546698">
        <w:t> </w:t>
      </w:r>
      <w:r>
        <w:t>provozu dobíjecí infrastruktury</w:t>
      </w:r>
    </w:p>
    <w:p w14:paraId="5C75E8FA" w14:textId="77777777" w:rsidR="001B4719" w:rsidRPr="00045F42" w:rsidRDefault="001B4719" w:rsidP="001B4719">
      <w:pPr>
        <w:ind w:left="709"/>
        <w:jc w:val="both"/>
        <w:rPr>
          <w:rFonts w:cs="Arial"/>
          <w:szCs w:val="22"/>
        </w:rPr>
      </w:pPr>
      <w:r w:rsidRPr="00045F42">
        <w:rPr>
          <w:rFonts w:cs="Arial"/>
          <w:szCs w:val="22"/>
        </w:rPr>
        <w:t>Nejednotnost přístupu stavebních úřadů, délka schvalovacích a</w:t>
      </w:r>
      <w:r w:rsidR="00546698">
        <w:rPr>
          <w:rFonts w:cs="Arial"/>
          <w:szCs w:val="22"/>
        </w:rPr>
        <w:t> </w:t>
      </w:r>
      <w:r w:rsidRPr="00045F42">
        <w:rPr>
          <w:rFonts w:cs="Arial"/>
          <w:szCs w:val="22"/>
        </w:rPr>
        <w:t>povolovacích řízení a</w:t>
      </w:r>
      <w:r w:rsidR="00546698">
        <w:rPr>
          <w:rFonts w:cs="Arial"/>
          <w:szCs w:val="22"/>
        </w:rPr>
        <w:t> </w:t>
      </w:r>
      <w:r w:rsidRPr="00045F42">
        <w:rPr>
          <w:rFonts w:cs="Arial"/>
          <w:szCs w:val="22"/>
        </w:rPr>
        <w:t>nedodržování správních lhůt jsou jedny z</w:t>
      </w:r>
      <w:r w:rsidR="00546698">
        <w:rPr>
          <w:rFonts w:cs="Arial"/>
          <w:szCs w:val="22"/>
        </w:rPr>
        <w:t> </w:t>
      </w:r>
      <w:r w:rsidRPr="00045F42">
        <w:rPr>
          <w:rFonts w:cs="Arial"/>
          <w:szCs w:val="22"/>
        </w:rPr>
        <w:t>hlavních překážek rychlého rozvoje dobíjecí infrastruktury. Výstavba dobíjecích stanic je tak zdlouhavá a</w:t>
      </w:r>
      <w:r w:rsidR="00546698">
        <w:rPr>
          <w:rFonts w:cs="Arial"/>
          <w:szCs w:val="22"/>
        </w:rPr>
        <w:t> </w:t>
      </w:r>
      <w:r w:rsidRPr="00045F42">
        <w:rPr>
          <w:rFonts w:cs="Arial"/>
          <w:szCs w:val="22"/>
        </w:rPr>
        <w:t>nemá možnost flexibilně reagovat na rostoucí poptávku.</w:t>
      </w:r>
      <w:r w:rsidRPr="00C7188D">
        <w:t xml:space="preserve"> </w:t>
      </w:r>
      <w:r w:rsidRPr="00C7188D">
        <w:rPr>
          <w:rFonts w:cs="Arial"/>
          <w:szCs w:val="22"/>
        </w:rPr>
        <w:t>Výstavbu by též usnadnilo zjednodušení přístupu k</w:t>
      </w:r>
      <w:r w:rsidR="00546698">
        <w:rPr>
          <w:rFonts w:cs="Arial"/>
          <w:szCs w:val="22"/>
        </w:rPr>
        <w:t> </w:t>
      </w:r>
      <w:r w:rsidRPr="00C7188D">
        <w:rPr>
          <w:rFonts w:cs="Arial"/>
          <w:szCs w:val="22"/>
        </w:rPr>
        <w:t>pozemkům státu, kdy do podmínek jejich nakládání je třeba zohlednit specifika elektromobility. Je také žádoucí zjednodušit metodiku vyčleňování parkovacích stání a</w:t>
      </w:r>
      <w:r w:rsidR="00546698">
        <w:rPr>
          <w:rFonts w:cs="Arial"/>
          <w:szCs w:val="22"/>
        </w:rPr>
        <w:t> </w:t>
      </w:r>
      <w:r w:rsidRPr="00C7188D">
        <w:rPr>
          <w:rFonts w:cs="Arial"/>
          <w:szCs w:val="22"/>
        </w:rPr>
        <w:t>způsob zajištění jejich vymahatelnosti, kdy zneužívání parkovacích stání u</w:t>
      </w:r>
      <w:r w:rsidR="00546698">
        <w:rPr>
          <w:rFonts w:cs="Arial"/>
          <w:szCs w:val="22"/>
        </w:rPr>
        <w:t> </w:t>
      </w:r>
      <w:r w:rsidRPr="00C7188D">
        <w:rPr>
          <w:rFonts w:cs="Arial"/>
          <w:szCs w:val="22"/>
        </w:rPr>
        <w:t>dobíjecích stanic představuje problém ve všech zemích.</w:t>
      </w:r>
    </w:p>
    <w:p w14:paraId="3277A7A5" w14:textId="77777777" w:rsidR="001B4719" w:rsidRPr="00045F42" w:rsidRDefault="001B4719" w:rsidP="001B4719">
      <w:pPr>
        <w:pStyle w:val="Odstavecseseznamem"/>
        <w:numPr>
          <w:ilvl w:val="0"/>
          <w:numId w:val="18"/>
        </w:numPr>
        <w:spacing w:after="0"/>
        <w:contextualSpacing w:val="0"/>
        <w:jc w:val="both"/>
        <w:rPr>
          <w:rFonts w:cs="Arial"/>
          <w:szCs w:val="22"/>
          <w:u w:val="single"/>
        </w:rPr>
      </w:pPr>
      <w:r w:rsidRPr="00045F42">
        <w:rPr>
          <w:rFonts w:cs="Arial"/>
          <w:szCs w:val="22"/>
          <w:u w:val="single"/>
        </w:rPr>
        <w:t>Podpora nákupu vozidel a</w:t>
      </w:r>
      <w:r w:rsidR="00546698">
        <w:rPr>
          <w:rFonts w:cs="Arial"/>
          <w:szCs w:val="22"/>
          <w:u w:val="single"/>
        </w:rPr>
        <w:t> </w:t>
      </w:r>
      <w:r w:rsidRPr="00045F42">
        <w:rPr>
          <w:rFonts w:cs="Arial"/>
          <w:szCs w:val="22"/>
          <w:u w:val="single"/>
        </w:rPr>
        <w:t>jejich provozu</w:t>
      </w:r>
    </w:p>
    <w:p w14:paraId="33674334" w14:textId="77777777" w:rsidR="001B4719" w:rsidRPr="00045F42" w:rsidRDefault="001B4719" w:rsidP="001B4719">
      <w:pPr>
        <w:pStyle w:val="Odrkyabc"/>
        <w:numPr>
          <w:ilvl w:val="0"/>
          <w:numId w:val="34"/>
        </w:numPr>
        <w:jc w:val="both"/>
      </w:pPr>
      <w:r w:rsidRPr="00045F42">
        <w:t xml:space="preserve">Nalezení konsensu pro zavedení pokud možno plošného nástroje pro podporu </w:t>
      </w:r>
      <w:r>
        <w:t xml:space="preserve">nákupu </w:t>
      </w:r>
      <w:r w:rsidRPr="00045F42">
        <w:t>vozidel</w:t>
      </w:r>
    </w:p>
    <w:p w14:paraId="1B89E8B3" w14:textId="77777777" w:rsidR="001B4719" w:rsidRPr="00045F42" w:rsidRDefault="001B4719" w:rsidP="001B4719">
      <w:pPr>
        <w:ind w:left="709"/>
        <w:jc w:val="both"/>
        <w:rPr>
          <w:rFonts w:cs="Arial"/>
          <w:szCs w:val="22"/>
        </w:rPr>
      </w:pPr>
      <w:r w:rsidRPr="00045F42">
        <w:rPr>
          <w:rFonts w:cs="Arial"/>
          <w:szCs w:val="22"/>
        </w:rPr>
        <w:t>Pokud se mají efekty rozvoje elektromobility v</w:t>
      </w:r>
      <w:r w:rsidR="00546698">
        <w:rPr>
          <w:rFonts w:cs="Arial"/>
          <w:szCs w:val="22"/>
        </w:rPr>
        <w:t> </w:t>
      </w:r>
      <w:r w:rsidRPr="00045F42">
        <w:rPr>
          <w:rFonts w:cs="Arial"/>
          <w:szCs w:val="22"/>
        </w:rPr>
        <w:t>rámci EU projevit odpovídajícím způsobem, je třeba, aby byly využity i</w:t>
      </w:r>
      <w:r w:rsidR="00546698">
        <w:rPr>
          <w:rFonts w:cs="Arial"/>
          <w:szCs w:val="22"/>
        </w:rPr>
        <w:t> </w:t>
      </w:r>
      <w:r w:rsidRPr="00045F42">
        <w:rPr>
          <w:rFonts w:cs="Arial"/>
          <w:szCs w:val="22"/>
        </w:rPr>
        <w:t>nástroje stimulace poptávky po vozidlech srovnatelné s</w:t>
      </w:r>
      <w:r w:rsidR="00546698">
        <w:rPr>
          <w:rFonts w:cs="Arial"/>
          <w:szCs w:val="22"/>
        </w:rPr>
        <w:t> </w:t>
      </w:r>
      <w:r w:rsidRPr="00045F42">
        <w:rPr>
          <w:rFonts w:cs="Arial"/>
          <w:szCs w:val="22"/>
        </w:rPr>
        <w:t>okolními zeměmi. Jinak hrozí riziko, že plnění cíle bude realizováno na</w:t>
      </w:r>
      <w:r w:rsidR="00FF3453">
        <w:rPr>
          <w:rFonts w:cs="Arial"/>
          <w:szCs w:val="22"/>
        </w:rPr>
        <w:t>,</w:t>
      </w:r>
      <w:r w:rsidRPr="00045F42">
        <w:rPr>
          <w:rFonts w:cs="Arial"/>
          <w:szCs w:val="22"/>
        </w:rPr>
        <w:t xml:space="preserve"> z</w:t>
      </w:r>
      <w:r w:rsidR="00546698">
        <w:rPr>
          <w:rFonts w:cs="Arial"/>
          <w:szCs w:val="22"/>
        </w:rPr>
        <w:t> </w:t>
      </w:r>
      <w:r w:rsidRPr="00045F42">
        <w:rPr>
          <w:rFonts w:cs="Arial"/>
          <w:szCs w:val="22"/>
        </w:rPr>
        <w:t>pohledu poptávky</w:t>
      </w:r>
      <w:r w:rsidR="00FF3453">
        <w:rPr>
          <w:rFonts w:cs="Arial"/>
          <w:szCs w:val="22"/>
        </w:rPr>
        <w:t>,</w:t>
      </w:r>
      <w:r w:rsidRPr="00045F42">
        <w:rPr>
          <w:rFonts w:cs="Arial"/>
          <w:szCs w:val="22"/>
        </w:rPr>
        <w:t xml:space="preserve"> příznivějších trzích, což se negativně projeví n</w:t>
      </w:r>
      <w:r>
        <w:rPr>
          <w:rFonts w:cs="Arial"/>
          <w:szCs w:val="22"/>
        </w:rPr>
        <w:t>a </w:t>
      </w:r>
      <w:r w:rsidRPr="00045F42">
        <w:rPr>
          <w:rFonts w:cs="Arial"/>
          <w:szCs w:val="22"/>
        </w:rPr>
        <w:t xml:space="preserve">zaostávání </w:t>
      </w:r>
      <w:r>
        <w:rPr>
          <w:rFonts w:cs="Arial"/>
          <w:szCs w:val="22"/>
        </w:rPr>
        <w:t>ČR</w:t>
      </w:r>
      <w:r w:rsidRPr="00045F42">
        <w:rPr>
          <w:rFonts w:cs="Arial"/>
          <w:szCs w:val="22"/>
        </w:rPr>
        <w:t xml:space="preserve"> a</w:t>
      </w:r>
      <w:r w:rsidR="00546698">
        <w:rPr>
          <w:rFonts w:cs="Arial"/>
          <w:szCs w:val="22"/>
        </w:rPr>
        <w:t> </w:t>
      </w:r>
      <w:r w:rsidRPr="00045F42">
        <w:rPr>
          <w:rFonts w:cs="Arial"/>
          <w:szCs w:val="22"/>
        </w:rPr>
        <w:t>mj. i</w:t>
      </w:r>
      <w:r w:rsidR="00546698">
        <w:rPr>
          <w:rFonts w:cs="Arial"/>
          <w:szCs w:val="22"/>
        </w:rPr>
        <w:t> </w:t>
      </w:r>
      <w:r w:rsidRPr="00045F42">
        <w:rPr>
          <w:rFonts w:cs="Arial"/>
          <w:szCs w:val="22"/>
        </w:rPr>
        <w:t>ochotě investorů investovat do moderních technologií souvisejících s</w:t>
      </w:r>
      <w:r w:rsidR="00546698">
        <w:rPr>
          <w:rFonts w:cs="Arial"/>
          <w:szCs w:val="22"/>
        </w:rPr>
        <w:t> </w:t>
      </w:r>
      <w:r w:rsidRPr="00045F42">
        <w:rPr>
          <w:rFonts w:cs="Arial"/>
          <w:szCs w:val="22"/>
        </w:rPr>
        <w:t>elektromobilitou na území ČR.</w:t>
      </w:r>
    </w:p>
    <w:p w14:paraId="14B0E775" w14:textId="77777777" w:rsidR="001B4719" w:rsidRPr="00045F42" w:rsidRDefault="001B4719" w:rsidP="001B4719">
      <w:pPr>
        <w:ind w:left="709"/>
        <w:jc w:val="both"/>
        <w:rPr>
          <w:rFonts w:cs="Arial"/>
          <w:szCs w:val="22"/>
        </w:rPr>
      </w:pPr>
      <w:r w:rsidRPr="00045F42">
        <w:rPr>
          <w:rFonts w:cs="Arial"/>
          <w:szCs w:val="22"/>
        </w:rPr>
        <w:t>Některé formy podpory (pro specifické segmenty) již byly realizovány a</w:t>
      </w:r>
      <w:r w:rsidR="00546698">
        <w:rPr>
          <w:rFonts w:cs="Arial"/>
          <w:szCs w:val="22"/>
        </w:rPr>
        <w:t> </w:t>
      </w:r>
      <w:r w:rsidRPr="00045F42">
        <w:rPr>
          <w:rFonts w:cs="Arial"/>
          <w:szCs w:val="22"/>
        </w:rPr>
        <w:t>je třeba v</w:t>
      </w:r>
      <w:r w:rsidR="00546698">
        <w:rPr>
          <w:rFonts w:cs="Arial"/>
          <w:szCs w:val="22"/>
        </w:rPr>
        <w:t> </w:t>
      </w:r>
      <w:r w:rsidRPr="00045F42">
        <w:rPr>
          <w:rFonts w:cs="Arial"/>
          <w:szCs w:val="22"/>
        </w:rPr>
        <w:t xml:space="preserve">nich pokračovat, </w:t>
      </w:r>
      <w:r>
        <w:rPr>
          <w:rFonts w:cs="Arial"/>
          <w:szCs w:val="22"/>
        </w:rPr>
        <w:t>dále by</w:t>
      </w:r>
      <w:r w:rsidRPr="00045F42">
        <w:rPr>
          <w:rFonts w:cs="Arial"/>
          <w:szCs w:val="22"/>
        </w:rPr>
        <w:t xml:space="preserve"> bylo vhodné hledat systematický nástroj podpory zejména pro sektor domácností.</w:t>
      </w:r>
    </w:p>
    <w:p w14:paraId="61AC3178" w14:textId="77777777" w:rsidR="001B4719" w:rsidRDefault="001B4719" w:rsidP="001B4719">
      <w:pPr>
        <w:pStyle w:val="odrkaa"/>
        <w:jc w:val="both"/>
      </w:pPr>
      <w:r>
        <w:t>Podpora nákupu vozidel šetrných k</w:t>
      </w:r>
      <w:r w:rsidR="00546698">
        <w:t> </w:t>
      </w:r>
      <w:r>
        <w:t>životnímu prostředí pomocí nedaňových nástrojů</w:t>
      </w:r>
    </w:p>
    <w:p w14:paraId="25F2AAC0" w14:textId="77777777" w:rsidR="001B4719" w:rsidRDefault="001B4719" w:rsidP="001B4719">
      <w:pPr>
        <w:pStyle w:val="odrkaa"/>
        <w:numPr>
          <w:ilvl w:val="0"/>
          <w:numId w:val="0"/>
        </w:numPr>
        <w:ind w:left="680"/>
        <w:jc w:val="both"/>
      </w:pPr>
      <w:r>
        <w:t>V případě podpory nákupu vozidel je vhodné kombinovat různé nástroje a</w:t>
      </w:r>
      <w:r w:rsidR="00546698">
        <w:t> </w:t>
      </w:r>
      <w:r>
        <w:t>opatření. Navržená opatření budou vycházet z</w:t>
      </w:r>
      <w:r w:rsidR="00546698">
        <w:t> </w:t>
      </w:r>
      <w:r>
        <w:t>analýzy zpoplatnění vozidel, kterou zpracovává MD.</w:t>
      </w:r>
    </w:p>
    <w:p w14:paraId="698D5FA4" w14:textId="77777777" w:rsidR="001B4719" w:rsidRDefault="001B4719" w:rsidP="001B4719">
      <w:pPr>
        <w:pStyle w:val="odrkaa"/>
        <w:jc w:val="both"/>
      </w:pPr>
      <w:r>
        <w:t>Podpora nákupu pro specifické segmenty</w:t>
      </w:r>
    </w:p>
    <w:p w14:paraId="6F9AF2E3" w14:textId="77777777" w:rsidR="001B4719" w:rsidRDefault="001B4719" w:rsidP="001B4719">
      <w:pPr>
        <w:pStyle w:val="odrkaa"/>
        <w:numPr>
          <w:ilvl w:val="0"/>
          <w:numId w:val="0"/>
        </w:numPr>
        <w:ind w:left="680"/>
        <w:jc w:val="both"/>
      </w:pPr>
      <w:r>
        <w:lastRenderedPageBreak/>
        <w:t>Dosavadní programy podpory nákupu vozidel pro specifické segmenty (podnikatelé, státní správa a</w:t>
      </w:r>
      <w:r w:rsidR="00546698">
        <w:t> </w:t>
      </w:r>
      <w:r>
        <w:t>samospráva, MHD) se ukázaly jako funkční a</w:t>
      </w:r>
      <w:r w:rsidR="00546698">
        <w:t> </w:t>
      </w:r>
      <w:r>
        <w:t>je navrhováno v</w:t>
      </w:r>
      <w:r w:rsidR="00546698">
        <w:t> </w:t>
      </w:r>
      <w:r>
        <w:t>nich pokračovat i</w:t>
      </w:r>
      <w:r w:rsidR="00546698">
        <w:t> </w:t>
      </w:r>
      <w:r>
        <w:t>v dalším programovacím období po promítnutí praktických zkušeností.</w:t>
      </w:r>
    </w:p>
    <w:p w14:paraId="2664E647" w14:textId="77777777" w:rsidR="001B4719" w:rsidRDefault="001B4719" w:rsidP="001B4719">
      <w:pPr>
        <w:pStyle w:val="odrkaa"/>
        <w:numPr>
          <w:ilvl w:val="0"/>
          <w:numId w:val="0"/>
        </w:numPr>
        <w:ind w:left="680"/>
        <w:jc w:val="both"/>
      </w:pPr>
      <w:r w:rsidRPr="00016AEF">
        <w:t>Vzhledem k</w:t>
      </w:r>
      <w:r w:rsidR="00546698">
        <w:t> </w:t>
      </w:r>
      <w:r w:rsidRPr="00016AEF">
        <w:t>objemu výkonů a</w:t>
      </w:r>
      <w:r w:rsidR="00546698">
        <w:t> </w:t>
      </w:r>
      <w:r w:rsidRPr="00016AEF">
        <w:t>energetické náročnosti MHD je žádoucí odstupňovat míru podpory pro jednotlivé druhy pohonů jednak z</w:t>
      </w:r>
      <w:r w:rsidR="00546698">
        <w:t> </w:t>
      </w:r>
      <w:r w:rsidRPr="00016AEF">
        <w:t>pohledu jejich faktického dopadu na životní prostředí, jednak z</w:t>
      </w:r>
      <w:r w:rsidR="00546698">
        <w:t> </w:t>
      </w:r>
      <w:r w:rsidRPr="00016AEF">
        <w:t>titulu směrování aktivit k</w:t>
      </w:r>
      <w:r w:rsidR="00546698">
        <w:t> </w:t>
      </w:r>
      <w:r w:rsidRPr="00016AEF">
        <w:t>dosažení daného cíle (nejvyšší podporu pro bezemisní pohony, nižší stupeň pro hybridy a</w:t>
      </w:r>
      <w:r w:rsidR="00546698">
        <w:t> </w:t>
      </w:r>
      <w:r w:rsidRPr="00016AEF">
        <w:t>alternativní pohony na paliva z</w:t>
      </w:r>
      <w:r w:rsidR="00546698">
        <w:t> </w:t>
      </w:r>
      <w:r w:rsidRPr="00016AEF">
        <w:t>obnovitelných zdrojů, nejnižší stupeň pro alternativní fosilní paliva).</w:t>
      </w:r>
    </w:p>
    <w:p w14:paraId="07E2F65B" w14:textId="77777777" w:rsidR="001B4719" w:rsidRPr="00045F42" w:rsidRDefault="001B4719" w:rsidP="001B4719">
      <w:pPr>
        <w:pStyle w:val="odrkaa"/>
        <w:jc w:val="both"/>
      </w:pPr>
      <w:r w:rsidRPr="00045F42">
        <w:t>Praktické otázky provozu elektromobilů ve firemních flotilách</w:t>
      </w:r>
    </w:p>
    <w:p w14:paraId="2911BC41" w14:textId="77777777" w:rsidR="001B4719" w:rsidRPr="00045F42" w:rsidRDefault="001B4719" w:rsidP="001B4719">
      <w:pPr>
        <w:ind w:left="709"/>
        <w:jc w:val="both"/>
        <w:rPr>
          <w:rFonts w:cs="Arial"/>
          <w:szCs w:val="22"/>
        </w:rPr>
      </w:pPr>
      <w:r w:rsidRPr="00045F42">
        <w:rPr>
          <w:rFonts w:cs="Arial"/>
          <w:szCs w:val="22"/>
        </w:rPr>
        <w:t>S očekávaným nástupem elektromobility ve firemních flotilách roste význam praktických záležitostí jako je způsob vykazování a</w:t>
      </w:r>
      <w:r w:rsidR="00546698">
        <w:rPr>
          <w:rFonts w:cs="Arial"/>
          <w:szCs w:val="22"/>
        </w:rPr>
        <w:t> </w:t>
      </w:r>
      <w:r w:rsidRPr="00045F42">
        <w:rPr>
          <w:rFonts w:cs="Arial"/>
          <w:szCs w:val="22"/>
        </w:rPr>
        <w:t>účtování nákladů na palivo zejména z</w:t>
      </w:r>
      <w:r w:rsidR="00546698">
        <w:rPr>
          <w:rFonts w:cs="Arial"/>
          <w:szCs w:val="22"/>
        </w:rPr>
        <w:t> </w:t>
      </w:r>
      <w:r w:rsidRPr="00045F42">
        <w:rPr>
          <w:rFonts w:cs="Arial"/>
          <w:szCs w:val="22"/>
        </w:rPr>
        <w:t>účetního a</w:t>
      </w:r>
      <w:r w:rsidR="00546698">
        <w:rPr>
          <w:rFonts w:cs="Arial"/>
          <w:szCs w:val="22"/>
        </w:rPr>
        <w:t> </w:t>
      </w:r>
      <w:r w:rsidRPr="00045F42">
        <w:rPr>
          <w:rFonts w:cs="Arial"/>
          <w:szCs w:val="22"/>
        </w:rPr>
        <w:t>daňového pohledu</w:t>
      </w:r>
      <w:r>
        <w:rPr>
          <w:rFonts w:cs="Arial"/>
          <w:szCs w:val="22"/>
        </w:rPr>
        <w:t xml:space="preserve">, </w:t>
      </w:r>
      <w:r w:rsidRPr="002B06F3">
        <w:rPr>
          <w:rFonts w:cs="Arial"/>
          <w:szCs w:val="22"/>
        </w:rPr>
        <w:t>daňové a</w:t>
      </w:r>
      <w:r w:rsidR="00546698">
        <w:rPr>
          <w:rFonts w:cs="Arial"/>
          <w:szCs w:val="22"/>
        </w:rPr>
        <w:t> </w:t>
      </w:r>
      <w:r w:rsidRPr="002B06F3">
        <w:rPr>
          <w:rFonts w:cs="Arial"/>
          <w:szCs w:val="22"/>
        </w:rPr>
        <w:t>účetní řešení příslušenství vč. wallboxů</w:t>
      </w:r>
      <w:r w:rsidRPr="00045F42">
        <w:rPr>
          <w:rFonts w:cs="Arial"/>
          <w:szCs w:val="22"/>
        </w:rPr>
        <w:t xml:space="preserve">. </w:t>
      </w:r>
    </w:p>
    <w:p w14:paraId="286FD01F" w14:textId="77777777" w:rsidR="001B4719" w:rsidRPr="00045F42" w:rsidRDefault="001B4719" w:rsidP="001B4719">
      <w:pPr>
        <w:pStyle w:val="Odrkyabc"/>
        <w:jc w:val="both"/>
      </w:pPr>
      <w:r w:rsidRPr="00045F42">
        <w:t>Nepřímé nástroje</w:t>
      </w:r>
    </w:p>
    <w:p w14:paraId="64900C2D" w14:textId="77777777" w:rsidR="001B4719" w:rsidRPr="00045F42" w:rsidRDefault="001B4719" w:rsidP="001B4719">
      <w:pPr>
        <w:ind w:left="709"/>
        <w:jc w:val="both"/>
        <w:rPr>
          <w:rFonts w:cs="Arial"/>
          <w:szCs w:val="22"/>
        </w:rPr>
      </w:pPr>
      <w:r w:rsidRPr="00045F42">
        <w:rPr>
          <w:rFonts w:cs="Arial"/>
          <w:szCs w:val="22"/>
        </w:rPr>
        <w:t>Elektromobilitu lze podpořit řadou nepřímých nástrojů, které navíc nutně nemusí generovat přímé náklady a</w:t>
      </w:r>
      <w:r w:rsidR="00546698">
        <w:rPr>
          <w:rFonts w:cs="Arial"/>
          <w:szCs w:val="22"/>
        </w:rPr>
        <w:t> </w:t>
      </w:r>
      <w:r w:rsidRPr="00045F42">
        <w:rPr>
          <w:rFonts w:cs="Arial"/>
          <w:szCs w:val="22"/>
        </w:rPr>
        <w:t>minimálně v</w:t>
      </w:r>
      <w:r w:rsidR="00546698">
        <w:rPr>
          <w:rFonts w:cs="Arial"/>
          <w:szCs w:val="22"/>
        </w:rPr>
        <w:t> </w:t>
      </w:r>
      <w:r w:rsidRPr="00045F42">
        <w:rPr>
          <w:rFonts w:cs="Arial"/>
          <w:szCs w:val="22"/>
        </w:rPr>
        <w:t>počáteční fázi trhu mohou být argumentem pro nerozhodnuté zájemce. Jedná se o</w:t>
      </w:r>
      <w:r w:rsidR="00546698">
        <w:rPr>
          <w:rFonts w:cs="Arial"/>
          <w:szCs w:val="22"/>
        </w:rPr>
        <w:t> </w:t>
      </w:r>
      <w:r w:rsidRPr="00045F42">
        <w:rPr>
          <w:rFonts w:cs="Arial"/>
          <w:szCs w:val="22"/>
        </w:rPr>
        <w:t>opatření jak na státní úrovni (např. dálniční známka</w:t>
      </w:r>
      <w:r>
        <w:rPr>
          <w:rFonts w:cs="Arial"/>
          <w:szCs w:val="22"/>
        </w:rPr>
        <w:t>, mýtné</w:t>
      </w:r>
      <w:r w:rsidRPr="00045F42">
        <w:rPr>
          <w:rFonts w:cs="Arial"/>
          <w:szCs w:val="22"/>
        </w:rPr>
        <w:t>), tak zejména na regionální a</w:t>
      </w:r>
      <w:r w:rsidR="00546698">
        <w:rPr>
          <w:rFonts w:cs="Arial"/>
          <w:szCs w:val="22"/>
        </w:rPr>
        <w:t> </w:t>
      </w:r>
      <w:r w:rsidRPr="00045F42">
        <w:rPr>
          <w:rFonts w:cs="Arial"/>
          <w:szCs w:val="22"/>
        </w:rPr>
        <w:t>municipální (např. zvýhodněné parkování). Inspiraci lze najít</w:t>
      </w:r>
      <w:r w:rsidR="00CC212B">
        <w:rPr>
          <w:rFonts w:cs="Arial"/>
          <w:szCs w:val="22"/>
        </w:rPr>
        <w:t xml:space="preserve"> </w:t>
      </w:r>
      <w:r w:rsidRPr="00045F42">
        <w:rPr>
          <w:rFonts w:cs="Arial"/>
          <w:szCs w:val="22"/>
        </w:rPr>
        <w:t>v</w:t>
      </w:r>
      <w:r>
        <w:rPr>
          <w:rFonts w:cs="Arial"/>
          <w:szCs w:val="22"/>
        </w:rPr>
        <w:t> </w:t>
      </w:r>
      <w:r w:rsidRPr="00045F42">
        <w:rPr>
          <w:rFonts w:cs="Arial"/>
          <w:szCs w:val="22"/>
        </w:rPr>
        <w:t>zahraničí.</w:t>
      </w:r>
    </w:p>
    <w:p w14:paraId="05300F2A" w14:textId="77777777" w:rsidR="001B4719" w:rsidRPr="00045F42" w:rsidRDefault="001B4719" w:rsidP="001B4719">
      <w:pPr>
        <w:pStyle w:val="Odstavecseseznamem"/>
        <w:numPr>
          <w:ilvl w:val="0"/>
          <w:numId w:val="18"/>
        </w:numPr>
        <w:spacing w:after="0"/>
        <w:contextualSpacing w:val="0"/>
        <w:jc w:val="both"/>
        <w:rPr>
          <w:rFonts w:cs="Arial"/>
          <w:szCs w:val="22"/>
          <w:u w:val="single"/>
        </w:rPr>
      </w:pPr>
      <w:r w:rsidRPr="00045F42">
        <w:rPr>
          <w:rFonts w:cs="Arial"/>
          <w:szCs w:val="22"/>
          <w:u w:val="single"/>
        </w:rPr>
        <w:t>Zajištění stabilního a</w:t>
      </w:r>
      <w:r w:rsidR="00546698">
        <w:rPr>
          <w:rFonts w:cs="Arial"/>
          <w:szCs w:val="22"/>
          <w:u w:val="single"/>
        </w:rPr>
        <w:t> </w:t>
      </w:r>
      <w:r w:rsidRPr="00045F42">
        <w:rPr>
          <w:rFonts w:cs="Arial"/>
          <w:szCs w:val="22"/>
          <w:u w:val="single"/>
        </w:rPr>
        <w:t>predikovatelného regulatorního prostředí</w:t>
      </w:r>
    </w:p>
    <w:p w14:paraId="1FC2788E" w14:textId="77777777" w:rsidR="001B4719" w:rsidRPr="00045F42" w:rsidRDefault="001B4719" w:rsidP="001B4719">
      <w:pPr>
        <w:pStyle w:val="odrkaa"/>
        <w:numPr>
          <w:ilvl w:val="0"/>
          <w:numId w:val="19"/>
        </w:numPr>
        <w:jc w:val="both"/>
      </w:pPr>
      <w:r w:rsidRPr="00045F42">
        <w:t>Aktualizace legislativy</w:t>
      </w:r>
    </w:p>
    <w:p w14:paraId="02979F34" w14:textId="77777777" w:rsidR="001B4719" w:rsidRDefault="001B4719" w:rsidP="001B4719">
      <w:pPr>
        <w:ind w:left="709"/>
        <w:jc w:val="both"/>
        <w:rPr>
          <w:rFonts w:cs="Arial"/>
          <w:szCs w:val="22"/>
        </w:rPr>
      </w:pPr>
      <w:r w:rsidRPr="00045F42">
        <w:rPr>
          <w:rFonts w:cs="Arial"/>
          <w:szCs w:val="22"/>
        </w:rPr>
        <w:t>Praktické zkušenosti ukazují, že je třeba aktualizovat ukotvení elektromobility v</w:t>
      </w:r>
      <w:r w:rsidR="00546698">
        <w:rPr>
          <w:rFonts w:cs="Arial"/>
          <w:szCs w:val="22"/>
        </w:rPr>
        <w:t> </w:t>
      </w:r>
      <w:r w:rsidRPr="00045F42">
        <w:rPr>
          <w:rFonts w:cs="Arial"/>
          <w:szCs w:val="22"/>
        </w:rPr>
        <w:t>legislativě (jak na úrovni EU, tak i</w:t>
      </w:r>
      <w:r w:rsidR="00546698">
        <w:rPr>
          <w:rFonts w:cs="Arial"/>
          <w:szCs w:val="22"/>
        </w:rPr>
        <w:t> </w:t>
      </w:r>
      <w:r w:rsidRPr="00045F42">
        <w:rPr>
          <w:rFonts w:cs="Arial"/>
          <w:szCs w:val="22"/>
        </w:rPr>
        <w:t>v</w:t>
      </w:r>
      <w:r>
        <w:rPr>
          <w:rFonts w:cs="Arial"/>
          <w:szCs w:val="22"/>
        </w:rPr>
        <w:t> </w:t>
      </w:r>
      <w:r w:rsidRPr="00045F42">
        <w:rPr>
          <w:rFonts w:cs="Arial"/>
          <w:szCs w:val="22"/>
        </w:rPr>
        <w:t>rámci ČR ve vazbě na zákon o</w:t>
      </w:r>
      <w:r w:rsidR="00546698">
        <w:rPr>
          <w:rFonts w:cs="Arial"/>
          <w:szCs w:val="22"/>
        </w:rPr>
        <w:t> </w:t>
      </w:r>
      <w:r w:rsidRPr="00045F42">
        <w:rPr>
          <w:rFonts w:cs="Arial"/>
          <w:szCs w:val="22"/>
        </w:rPr>
        <w:t>PHM), např. v</w:t>
      </w:r>
      <w:r w:rsidR="00546698">
        <w:rPr>
          <w:rFonts w:cs="Arial"/>
          <w:szCs w:val="22"/>
        </w:rPr>
        <w:t> </w:t>
      </w:r>
      <w:r w:rsidRPr="00045F42">
        <w:rPr>
          <w:rFonts w:cs="Arial"/>
          <w:szCs w:val="22"/>
        </w:rPr>
        <w:t>oblasti vymezení některých pojmů nebo kategorií, tak i</w:t>
      </w:r>
      <w:r w:rsidR="00546698">
        <w:rPr>
          <w:rFonts w:cs="Arial"/>
          <w:szCs w:val="22"/>
        </w:rPr>
        <w:t> </w:t>
      </w:r>
      <w:r w:rsidRPr="00045F42">
        <w:rPr>
          <w:rFonts w:cs="Arial"/>
          <w:szCs w:val="22"/>
        </w:rPr>
        <w:t>situací, které mohou v</w:t>
      </w:r>
      <w:r w:rsidR="00546698">
        <w:rPr>
          <w:rFonts w:cs="Arial"/>
          <w:szCs w:val="22"/>
        </w:rPr>
        <w:t> </w:t>
      </w:r>
      <w:r w:rsidRPr="00045F42">
        <w:rPr>
          <w:rFonts w:cs="Arial"/>
          <w:szCs w:val="22"/>
        </w:rPr>
        <w:t>rámci výstavby a</w:t>
      </w:r>
      <w:r w:rsidR="00546698">
        <w:rPr>
          <w:rFonts w:cs="Arial"/>
          <w:szCs w:val="22"/>
        </w:rPr>
        <w:t> </w:t>
      </w:r>
      <w:r w:rsidRPr="00045F42">
        <w:rPr>
          <w:rFonts w:cs="Arial"/>
          <w:szCs w:val="22"/>
        </w:rPr>
        <w:t>provozu stanic nastat.</w:t>
      </w:r>
      <w:r>
        <w:rPr>
          <w:rFonts w:cs="Arial"/>
          <w:szCs w:val="22"/>
        </w:rPr>
        <w:t xml:space="preserve"> </w:t>
      </w:r>
      <w:r w:rsidRPr="002B06F3">
        <w:rPr>
          <w:rFonts w:cs="Arial"/>
          <w:szCs w:val="22"/>
        </w:rPr>
        <w:t>Další důležitou oblastí bude implementace dalších právních aktů, zejména směrnice o</w:t>
      </w:r>
      <w:r w:rsidR="00546698">
        <w:rPr>
          <w:rFonts w:cs="Arial"/>
          <w:szCs w:val="22"/>
        </w:rPr>
        <w:t> </w:t>
      </w:r>
      <w:r w:rsidRPr="002B06F3">
        <w:rPr>
          <w:rFonts w:cs="Arial"/>
          <w:szCs w:val="22"/>
        </w:rPr>
        <w:t>podpoře čistých vozidel a</w:t>
      </w:r>
      <w:r w:rsidR="00546698">
        <w:rPr>
          <w:rFonts w:cs="Arial"/>
          <w:szCs w:val="22"/>
        </w:rPr>
        <w:t> </w:t>
      </w:r>
      <w:r w:rsidRPr="002B06F3">
        <w:rPr>
          <w:rFonts w:cs="Arial"/>
          <w:szCs w:val="22"/>
        </w:rPr>
        <w:t>směrnice o</w:t>
      </w:r>
      <w:r w:rsidR="00546698">
        <w:rPr>
          <w:rFonts w:cs="Arial"/>
          <w:szCs w:val="22"/>
        </w:rPr>
        <w:t> </w:t>
      </w:r>
      <w:r w:rsidRPr="002B06F3">
        <w:rPr>
          <w:rFonts w:cs="Arial"/>
          <w:szCs w:val="22"/>
        </w:rPr>
        <w:t>energetické účinnosti, případně související problematiky, např. v</w:t>
      </w:r>
      <w:r w:rsidR="00546698">
        <w:rPr>
          <w:rFonts w:cs="Arial"/>
          <w:szCs w:val="22"/>
        </w:rPr>
        <w:t> </w:t>
      </w:r>
      <w:r w:rsidRPr="002B06F3">
        <w:rPr>
          <w:rFonts w:cs="Arial"/>
          <w:szCs w:val="22"/>
        </w:rPr>
        <w:t>oblasti baterií, bezpečnosti atd.</w:t>
      </w:r>
    </w:p>
    <w:p w14:paraId="0DC34989" w14:textId="77777777" w:rsidR="001B4719" w:rsidRPr="00045F42" w:rsidRDefault="001B4719" w:rsidP="001B4719">
      <w:pPr>
        <w:ind w:left="709"/>
        <w:jc w:val="both"/>
        <w:rPr>
          <w:rFonts w:cs="Arial"/>
          <w:szCs w:val="22"/>
        </w:rPr>
      </w:pPr>
      <w:r w:rsidRPr="00016AEF">
        <w:rPr>
          <w:rFonts w:cs="Arial"/>
          <w:szCs w:val="22"/>
        </w:rPr>
        <w:t>Pro podporu bezemisní MHD je žádoucí zjednodušení legislativy pro provoz trolejbusů a</w:t>
      </w:r>
      <w:r w:rsidR="00546698">
        <w:rPr>
          <w:rFonts w:cs="Arial"/>
          <w:szCs w:val="22"/>
        </w:rPr>
        <w:t> </w:t>
      </w:r>
      <w:r w:rsidRPr="00016AEF">
        <w:rPr>
          <w:rFonts w:cs="Arial"/>
          <w:szCs w:val="22"/>
        </w:rPr>
        <w:t>jejich zařazení mezi čistá vozidla dle aktualizované směrnice 2009/33/ES. Rozvoj elektrické MHD podpoří také přehodnocení limitu maximálního stáří pro bezemisní vozidla MHD, osvobození MHD od příspěvků na OZE, odstranění rozdílnosti zdanění drážních a</w:t>
      </w:r>
      <w:r w:rsidR="00546698">
        <w:rPr>
          <w:rFonts w:cs="Arial"/>
          <w:szCs w:val="22"/>
        </w:rPr>
        <w:t> </w:t>
      </w:r>
      <w:r w:rsidRPr="00016AEF">
        <w:rPr>
          <w:rFonts w:cs="Arial"/>
          <w:szCs w:val="22"/>
        </w:rPr>
        <w:t>silničních vozidel MHD a</w:t>
      </w:r>
      <w:r w:rsidR="00546698">
        <w:rPr>
          <w:rFonts w:cs="Arial"/>
          <w:szCs w:val="22"/>
        </w:rPr>
        <w:t> </w:t>
      </w:r>
      <w:r w:rsidRPr="00016AEF">
        <w:rPr>
          <w:rFonts w:cs="Arial"/>
          <w:szCs w:val="22"/>
        </w:rPr>
        <w:t>řešení plateb za rezervovaný příkon pro elektrický provoz MHD jako celek. Legislativní prostředí by také mělo usnadnit zavádění preference a</w:t>
      </w:r>
      <w:r w:rsidR="00546698">
        <w:rPr>
          <w:rFonts w:cs="Arial"/>
          <w:szCs w:val="22"/>
        </w:rPr>
        <w:t> </w:t>
      </w:r>
      <w:r w:rsidRPr="00016AEF">
        <w:rPr>
          <w:rFonts w:cs="Arial"/>
          <w:szCs w:val="22"/>
        </w:rPr>
        <w:t>vyhrazených pruhů pro MHD stejně jako výstavbu drážní a</w:t>
      </w:r>
      <w:r w:rsidR="00546698">
        <w:rPr>
          <w:rFonts w:cs="Arial"/>
          <w:szCs w:val="22"/>
        </w:rPr>
        <w:t> </w:t>
      </w:r>
      <w:r>
        <w:rPr>
          <w:rFonts w:cs="Arial"/>
          <w:szCs w:val="22"/>
        </w:rPr>
        <w:t>do</w:t>
      </w:r>
      <w:r w:rsidRPr="00016AEF">
        <w:rPr>
          <w:rFonts w:cs="Arial"/>
          <w:szCs w:val="22"/>
        </w:rPr>
        <w:t>bíjecí infrastruktury pro elektrické formy MHD.</w:t>
      </w:r>
    </w:p>
    <w:p w14:paraId="17E8D6BB" w14:textId="77777777" w:rsidR="001B4719" w:rsidRPr="00045F42" w:rsidRDefault="001B4719" w:rsidP="001B4719">
      <w:pPr>
        <w:pStyle w:val="odrkaa"/>
        <w:numPr>
          <w:ilvl w:val="0"/>
          <w:numId w:val="19"/>
        </w:numPr>
        <w:jc w:val="both"/>
      </w:pPr>
      <w:r w:rsidRPr="002B06F3">
        <w:t>Interoperabilita a</w:t>
      </w:r>
      <w:r w:rsidR="00546698">
        <w:t> </w:t>
      </w:r>
      <w:r w:rsidRPr="002B06F3">
        <w:t>roaming, zlepšení</w:t>
      </w:r>
      <w:r w:rsidRPr="00045F42">
        <w:t xml:space="preserve"> situace v</w:t>
      </w:r>
      <w:r w:rsidR="00546698">
        <w:t> </w:t>
      </w:r>
      <w:r w:rsidRPr="00045F42">
        <w:t>oblasti sběru dat a</w:t>
      </w:r>
      <w:r w:rsidR="00546698">
        <w:t> </w:t>
      </w:r>
      <w:r w:rsidRPr="00045F42">
        <w:t xml:space="preserve">jejich zveřejňování </w:t>
      </w:r>
    </w:p>
    <w:p w14:paraId="5A8272C3" w14:textId="77777777" w:rsidR="001B4719" w:rsidRPr="00045F42" w:rsidRDefault="001B4719" w:rsidP="001B4719">
      <w:pPr>
        <w:ind w:left="709"/>
        <w:jc w:val="both"/>
        <w:rPr>
          <w:rFonts w:cs="Arial"/>
          <w:szCs w:val="22"/>
        </w:rPr>
      </w:pPr>
      <w:r w:rsidRPr="002B06F3">
        <w:rPr>
          <w:rFonts w:cs="Arial"/>
          <w:szCs w:val="22"/>
        </w:rPr>
        <w:t>Je třeba pokračovat v</w:t>
      </w:r>
      <w:r w:rsidR="00546698">
        <w:rPr>
          <w:rFonts w:cs="Arial"/>
          <w:szCs w:val="22"/>
        </w:rPr>
        <w:t> </w:t>
      </w:r>
      <w:r w:rsidRPr="002B06F3">
        <w:rPr>
          <w:rFonts w:cs="Arial"/>
          <w:szCs w:val="22"/>
        </w:rPr>
        <w:t>řešení problematiky interoperability a</w:t>
      </w:r>
      <w:r w:rsidR="00546698">
        <w:rPr>
          <w:rFonts w:cs="Arial"/>
          <w:szCs w:val="22"/>
        </w:rPr>
        <w:t> </w:t>
      </w:r>
      <w:r w:rsidRPr="002B06F3">
        <w:rPr>
          <w:rFonts w:cs="Arial"/>
          <w:szCs w:val="22"/>
        </w:rPr>
        <w:t>roamingu usnadňující využívání sítí stanic různých provozovatelů z</w:t>
      </w:r>
      <w:r w:rsidR="00546698">
        <w:rPr>
          <w:rFonts w:cs="Arial"/>
          <w:szCs w:val="22"/>
        </w:rPr>
        <w:t> </w:t>
      </w:r>
      <w:r w:rsidRPr="002B06F3">
        <w:rPr>
          <w:rFonts w:cs="Arial"/>
          <w:szCs w:val="22"/>
        </w:rPr>
        <w:t xml:space="preserve">pohledu koncového uživatele. </w:t>
      </w:r>
      <w:r w:rsidRPr="00045F42">
        <w:rPr>
          <w:rFonts w:cs="Arial"/>
          <w:szCs w:val="22"/>
        </w:rPr>
        <w:t>Informace o</w:t>
      </w:r>
      <w:r w:rsidR="00546698">
        <w:rPr>
          <w:rFonts w:cs="Arial"/>
          <w:szCs w:val="22"/>
        </w:rPr>
        <w:t> </w:t>
      </w:r>
      <w:r w:rsidRPr="00045F42">
        <w:rPr>
          <w:rFonts w:cs="Arial"/>
          <w:szCs w:val="22"/>
        </w:rPr>
        <w:t xml:space="preserve">dobíjecí infrastruktuře </w:t>
      </w:r>
      <w:r>
        <w:rPr>
          <w:rFonts w:cs="Arial"/>
          <w:szCs w:val="22"/>
        </w:rPr>
        <w:t>využitelné pro koncového uživatele</w:t>
      </w:r>
      <w:r w:rsidRPr="00045F42">
        <w:rPr>
          <w:rFonts w:cs="Arial"/>
          <w:szCs w:val="22"/>
        </w:rPr>
        <w:t xml:space="preserve"> (nejprve statická</w:t>
      </w:r>
      <w:r>
        <w:rPr>
          <w:rStyle w:val="Znakapoznpodarou"/>
          <w:rFonts w:cs="Arial"/>
          <w:szCs w:val="22"/>
        </w:rPr>
        <w:footnoteReference w:id="8"/>
      </w:r>
      <w:r w:rsidRPr="00045F42">
        <w:rPr>
          <w:rFonts w:cs="Arial"/>
          <w:szCs w:val="22"/>
        </w:rPr>
        <w:t>, postupně i</w:t>
      </w:r>
      <w:r w:rsidR="00546698">
        <w:rPr>
          <w:rFonts w:cs="Arial"/>
          <w:szCs w:val="22"/>
        </w:rPr>
        <w:t> </w:t>
      </w:r>
      <w:r w:rsidRPr="00045F42">
        <w:rPr>
          <w:rFonts w:cs="Arial"/>
          <w:szCs w:val="22"/>
        </w:rPr>
        <w:t>dynamická data</w:t>
      </w:r>
      <w:r>
        <w:rPr>
          <w:rStyle w:val="Znakapoznpodarou"/>
          <w:rFonts w:cs="Arial"/>
          <w:szCs w:val="22"/>
        </w:rPr>
        <w:footnoteReference w:id="9"/>
      </w:r>
      <w:r w:rsidRPr="00045F42">
        <w:rPr>
          <w:rFonts w:cs="Arial"/>
          <w:szCs w:val="22"/>
        </w:rPr>
        <w:t xml:space="preserve">) </w:t>
      </w:r>
      <w:r>
        <w:rPr>
          <w:rFonts w:cs="Arial"/>
          <w:szCs w:val="22"/>
        </w:rPr>
        <w:t xml:space="preserve">musí </w:t>
      </w:r>
      <w:r w:rsidRPr="00045F42">
        <w:rPr>
          <w:rFonts w:cs="Arial"/>
          <w:szCs w:val="22"/>
        </w:rPr>
        <w:t>být snadno dostupn</w:t>
      </w:r>
      <w:r>
        <w:rPr>
          <w:rFonts w:cs="Arial"/>
          <w:szCs w:val="22"/>
        </w:rPr>
        <w:t>á</w:t>
      </w:r>
      <w:r w:rsidRPr="00045F42">
        <w:rPr>
          <w:rFonts w:cs="Arial"/>
          <w:szCs w:val="22"/>
        </w:rPr>
        <w:t xml:space="preserve">. </w:t>
      </w:r>
      <w:r w:rsidRPr="00F67E6B">
        <w:rPr>
          <w:rFonts w:cs="Arial"/>
          <w:szCs w:val="22"/>
        </w:rPr>
        <w:t>V</w:t>
      </w:r>
      <w:r w:rsidR="00546698">
        <w:rPr>
          <w:rFonts w:cs="Arial"/>
          <w:szCs w:val="22"/>
        </w:rPr>
        <w:t> </w:t>
      </w:r>
      <w:r w:rsidRPr="00F67E6B">
        <w:rPr>
          <w:rFonts w:cs="Arial"/>
          <w:szCs w:val="22"/>
        </w:rPr>
        <w:t>současnosti upravuje sběr a</w:t>
      </w:r>
      <w:r w:rsidR="00546698">
        <w:rPr>
          <w:rFonts w:cs="Arial"/>
          <w:szCs w:val="22"/>
        </w:rPr>
        <w:t> </w:t>
      </w:r>
      <w:r w:rsidRPr="00F67E6B">
        <w:rPr>
          <w:rFonts w:cs="Arial"/>
          <w:szCs w:val="22"/>
        </w:rPr>
        <w:t>předávání statických dat zákon o</w:t>
      </w:r>
      <w:r w:rsidR="00546698">
        <w:rPr>
          <w:rFonts w:cs="Arial"/>
          <w:szCs w:val="22"/>
        </w:rPr>
        <w:t> </w:t>
      </w:r>
      <w:r w:rsidRPr="00F67E6B">
        <w:rPr>
          <w:rFonts w:cs="Arial"/>
          <w:szCs w:val="22"/>
        </w:rPr>
        <w:t xml:space="preserve">PHM, pravidla pro dynamická data </w:t>
      </w:r>
      <w:r>
        <w:rPr>
          <w:rFonts w:cs="Arial"/>
          <w:szCs w:val="22"/>
        </w:rPr>
        <w:t>budou</w:t>
      </w:r>
      <w:r w:rsidRPr="00F67E6B">
        <w:rPr>
          <w:rFonts w:cs="Arial"/>
          <w:szCs w:val="22"/>
        </w:rPr>
        <w:t xml:space="preserve"> legislativně upravena.</w:t>
      </w:r>
      <w:r>
        <w:rPr>
          <w:rFonts w:cs="Arial"/>
          <w:szCs w:val="22"/>
        </w:rPr>
        <w:t xml:space="preserve"> </w:t>
      </w:r>
      <w:r w:rsidRPr="00045F42">
        <w:rPr>
          <w:rFonts w:cs="Arial"/>
          <w:szCs w:val="22"/>
        </w:rPr>
        <w:t>Je třeba nastavit jasná pravidla a</w:t>
      </w:r>
      <w:r w:rsidR="00546698">
        <w:rPr>
          <w:rFonts w:cs="Arial"/>
          <w:szCs w:val="22"/>
        </w:rPr>
        <w:t> </w:t>
      </w:r>
      <w:r w:rsidRPr="00045F42">
        <w:rPr>
          <w:rFonts w:cs="Arial"/>
          <w:szCs w:val="22"/>
        </w:rPr>
        <w:t>kanály předávání informací usnadňující sběr, vyhodnocování a</w:t>
      </w:r>
      <w:r w:rsidR="00546698">
        <w:rPr>
          <w:rFonts w:cs="Arial"/>
          <w:szCs w:val="22"/>
        </w:rPr>
        <w:t> </w:t>
      </w:r>
      <w:r w:rsidRPr="00045F42">
        <w:rPr>
          <w:rFonts w:cs="Arial"/>
          <w:szCs w:val="22"/>
        </w:rPr>
        <w:t xml:space="preserve">sdílení, případně využití </w:t>
      </w:r>
      <w:r>
        <w:rPr>
          <w:rFonts w:cs="Arial"/>
          <w:szCs w:val="22"/>
        </w:rPr>
        <w:t xml:space="preserve">dat </w:t>
      </w:r>
      <w:r w:rsidRPr="00045F42">
        <w:rPr>
          <w:rFonts w:cs="Arial"/>
          <w:szCs w:val="22"/>
        </w:rPr>
        <w:t>v</w:t>
      </w:r>
      <w:r w:rsidR="00546698">
        <w:rPr>
          <w:rFonts w:cs="Arial"/>
          <w:szCs w:val="22"/>
        </w:rPr>
        <w:t> </w:t>
      </w:r>
      <w:r w:rsidRPr="00045F42">
        <w:rPr>
          <w:rFonts w:cs="Arial"/>
          <w:szCs w:val="22"/>
        </w:rPr>
        <w:t xml:space="preserve">nadstavbových službách (například mapových aplikací, navigací apod.). </w:t>
      </w:r>
      <w:r w:rsidRPr="002B06F3">
        <w:rPr>
          <w:rFonts w:cs="Arial"/>
          <w:szCs w:val="22"/>
        </w:rPr>
        <w:t>V</w:t>
      </w:r>
      <w:r w:rsidR="00546698">
        <w:rPr>
          <w:rFonts w:cs="Arial"/>
          <w:szCs w:val="22"/>
        </w:rPr>
        <w:t> </w:t>
      </w:r>
      <w:r w:rsidRPr="002B06F3">
        <w:rPr>
          <w:rFonts w:cs="Arial"/>
          <w:szCs w:val="22"/>
        </w:rPr>
        <w:t>souladu s</w:t>
      </w:r>
      <w:r w:rsidR="00546698">
        <w:rPr>
          <w:rFonts w:cs="Arial"/>
          <w:szCs w:val="22"/>
        </w:rPr>
        <w:t> </w:t>
      </w:r>
      <w:r w:rsidRPr="002B06F3">
        <w:rPr>
          <w:rFonts w:cs="Arial"/>
          <w:szCs w:val="22"/>
        </w:rPr>
        <w:t>očekávaným vývojem je též třeba ošetřit sjednocení ID dobíjecích stanic a</w:t>
      </w:r>
      <w:r w:rsidR="00546698">
        <w:rPr>
          <w:rFonts w:cs="Arial"/>
          <w:szCs w:val="22"/>
        </w:rPr>
        <w:t> </w:t>
      </w:r>
      <w:r w:rsidRPr="002B06F3">
        <w:rPr>
          <w:rFonts w:cs="Arial"/>
          <w:szCs w:val="22"/>
        </w:rPr>
        <w:t>zákaznických kontraktů a</w:t>
      </w:r>
      <w:r w:rsidR="00546698">
        <w:rPr>
          <w:rFonts w:cs="Arial"/>
          <w:szCs w:val="22"/>
        </w:rPr>
        <w:t> </w:t>
      </w:r>
      <w:r w:rsidRPr="002B06F3">
        <w:rPr>
          <w:rFonts w:cs="Arial"/>
          <w:szCs w:val="22"/>
        </w:rPr>
        <w:t>zajistit efektivní mechanismus jejich vydávání a</w:t>
      </w:r>
      <w:r w:rsidR="00546698">
        <w:rPr>
          <w:rFonts w:cs="Arial"/>
          <w:szCs w:val="22"/>
        </w:rPr>
        <w:t> </w:t>
      </w:r>
      <w:r w:rsidRPr="002B06F3">
        <w:rPr>
          <w:rFonts w:cs="Arial"/>
          <w:szCs w:val="22"/>
        </w:rPr>
        <w:t>evidence.</w:t>
      </w:r>
    </w:p>
    <w:p w14:paraId="597990D5" w14:textId="77777777" w:rsidR="001B4719" w:rsidRPr="00045F42" w:rsidRDefault="001B4719" w:rsidP="001B4719">
      <w:pPr>
        <w:pStyle w:val="odrkaa"/>
        <w:numPr>
          <w:ilvl w:val="0"/>
          <w:numId w:val="19"/>
        </w:numPr>
        <w:jc w:val="both"/>
      </w:pPr>
      <w:r w:rsidRPr="002B06F3">
        <w:t>Zajištění rozumného regulatorního rámce</w:t>
      </w:r>
    </w:p>
    <w:p w14:paraId="27B62E19" w14:textId="77777777" w:rsidR="001B4719" w:rsidRPr="00045F42" w:rsidRDefault="001B4719" w:rsidP="001B4719">
      <w:pPr>
        <w:ind w:left="709"/>
        <w:jc w:val="both"/>
        <w:rPr>
          <w:rFonts w:cs="Arial"/>
          <w:szCs w:val="22"/>
        </w:rPr>
      </w:pPr>
      <w:r w:rsidRPr="00045F42">
        <w:rPr>
          <w:rFonts w:cs="Arial"/>
          <w:szCs w:val="22"/>
        </w:rPr>
        <w:lastRenderedPageBreak/>
        <w:t>Malá hloubka nebo zralost elektromobilního trhu může být zdrojem určitých komplikací nebo situací, kdy se trh nechová tak, jak se všeobecně očekává. V</w:t>
      </w:r>
      <w:r w:rsidR="00546698">
        <w:rPr>
          <w:rFonts w:cs="Arial"/>
          <w:szCs w:val="22"/>
        </w:rPr>
        <w:t> </w:t>
      </w:r>
      <w:r w:rsidRPr="00045F42">
        <w:rPr>
          <w:rFonts w:cs="Arial"/>
          <w:szCs w:val="22"/>
        </w:rPr>
        <w:t>této fázi je důležité, zejména s</w:t>
      </w:r>
      <w:r w:rsidR="00546698">
        <w:rPr>
          <w:rFonts w:cs="Arial"/>
          <w:szCs w:val="22"/>
        </w:rPr>
        <w:t> </w:t>
      </w:r>
      <w:r w:rsidRPr="00045F42">
        <w:rPr>
          <w:rFonts w:cs="Arial"/>
          <w:szCs w:val="22"/>
        </w:rPr>
        <w:t>ohledem na to, že se jedná o</w:t>
      </w:r>
      <w:r w:rsidR="00546698">
        <w:rPr>
          <w:rFonts w:cs="Arial"/>
          <w:szCs w:val="22"/>
        </w:rPr>
        <w:t> </w:t>
      </w:r>
      <w:r w:rsidRPr="00045F42">
        <w:rPr>
          <w:rFonts w:cs="Arial"/>
          <w:szCs w:val="22"/>
        </w:rPr>
        <w:t>odvětví s</w:t>
      </w:r>
      <w:r w:rsidR="00546698">
        <w:rPr>
          <w:rFonts w:cs="Arial"/>
          <w:szCs w:val="22"/>
        </w:rPr>
        <w:t> </w:t>
      </w:r>
      <w:r w:rsidRPr="00045F42">
        <w:rPr>
          <w:rFonts w:cs="Arial"/>
          <w:szCs w:val="22"/>
        </w:rPr>
        <w:t>dlouhodobou perspektivou, kdy některé z</w:t>
      </w:r>
      <w:r w:rsidR="00546698">
        <w:rPr>
          <w:rFonts w:cs="Arial"/>
          <w:szCs w:val="22"/>
        </w:rPr>
        <w:t> </w:t>
      </w:r>
      <w:r w:rsidRPr="00045F42">
        <w:rPr>
          <w:rFonts w:cs="Arial"/>
          <w:szCs w:val="22"/>
        </w:rPr>
        <w:t>investic mají nezvykle dlouhou dobu návratnosti (infrastruktura, ale i</w:t>
      </w:r>
      <w:r w:rsidR="00546698">
        <w:rPr>
          <w:rFonts w:cs="Arial"/>
          <w:szCs w:val="22"/>
        </w:rPr>
        <w:t> </w:t>
      </w:r>
      <w:r w:rsidRPr="00045F42">
        <w:rPr>
          <w:rFonts w:cs="Arial"/>
          <w:szCs w:val="22"/>
        </w:rPr>
        <w:t>investice automobilek), aby případné regulatorní zásahy byly realizovány až poté, co se skutečně prokáže, že trh selhává. V</w:t>
      </w:r>
      <w:r w:rsidR="00546698">
        <w:rPr>
          <w:rFonts w:cs="Arial"/>
          <w:szCs w:val="22"/>
        </w:rPr>
        <w:t> </w:t>
      </w:r>
      <w:r w:rsidRPr="00045F42">
        <w:rPr>
          <w:rFonts w:cs="Arial"/>
          <w:szCs w:val="22"/>
        </w:rPr>
        <w:t>případě ČR lze využít zkušeností některých zahraničních zemí, jejichž elektromobilita je rozvinutější a</w:t>
      </w:r>
      <w:r w:rsidR="00546698">
        <w:rPr>
          <w:rFonts w:cs="Arial"/>
          <w:szCs w:val="22"/>
        </w:rPr>
        <w:t> </w:t>
      </w:r>
      <w:r w:rsidRPr="00045F42">
        <w:rPr>
          <w:rFonts w:cs="Arial"/>
          <w:szCs w:val="22"/>
        </w:rPr>
        <w:t>u</w:t>
      </w:r>
      <w:r>
        <w:rPr>
          <w:rFonts w:cs="Arial"/>
          <w:szCs w:val="22"/>
        </w:rPr>
        <w:t> </w:t>
      </w:r>
      <w:r w:rsidRPr="00045F42">
        <w:rPr>
          <w:rFonts w:cs="Arial"/>
          <w:szCs w:val="22"/>
        </w:rPr>
        <w:t>kterých lze očekávat, že je český trh bude dříve nebo později následovat.</w:t>
      </w:r>
    </w:p>
    <w:p w14:paraId="13132C15" w14:textId="77777777" w:rsidR="001B4719" w:rsidRPr="00045F42" w:rsidRDefault="001B4719" w:rsidP="001B4719">
      <w:pPr>
        <w:ind w:left="709"/>
        <w:jc w:val="both"/>
        <w:rPr>
          <w:rFonts w:cs="Arial"/>
          <w:szCs w:val="22"/>
        </w:rPr>
      </w:pPr>
      <w:r w:rsidRPr="00045F42">
        <w:rPr>
          <w:rFonts w:cs="Arial"/>
          <w:szCs w:val="22"/>
        </w:rPr>
        <w:t>Zejména je třeba bedlivě zvažovat ta regulatorní opatření, která mohou mít implikace pro energetický trh, který má určitá specifika odlišná od jiných trhů služeb.</w:t>
      </w:r>
    </w:p>
    <w:p w14:paraId="618EE18B" w14:textId="77777777" w:rsidR="001B4719" w:rsidRDefault="001B4719" w:rsidP="001B4719">
      <w:pPr>
        <w:jc w:val="both"/>
      </w:pPr>
      <w:r>
        <w:t>V této oblasti je třeba definovat pozice ČR a</w:t>
      </w:r>
      <w:r w:rsidR="00546698">
        <w:t> </w:t>
      </w:r>
      <w:r>
        <w:t>efektivně je posazovat už ve fázi přípravy legislativy na EU úrovni (viz např. připravovaná aktualizace směrnice o</w:t>
      </w:r>
      <w:r w:rsidR="00546698">
        <w:t> </w:t>
      </w:r>
      <w:r>
        <w:t>infrastruktuře pro alternativní paliva).</w:t>
      </w:r>
    </w:p>
    <w:p w14:paraId="416F6903" w14:textId="77777777" w:rsidR="001B4719" w:rsidRDefault="001B4719" w:rsidP="001B4719">
      <w:pPr>
        <w:pStyle w:val="Odstavecseseznamem"/>
        <w:numPr>
          <w:ilvl w:val="0"/>
          <w:numId w:val="18"/>
        </w:numPr>
        <w:spacing w:after="0"/>
        <w:contextualSpacing w:val="0"/>
        <w:jc w:val="both"/>
        <w:rPr>
          <w:rFonts w:cs="Arial"/>
          <w:szCs w:val="22"/>
          <w:u w:val="single"/>
        </w:rPr>
      </w:pPr>
      <w:r w:rsidRPr="002B06F3">
        <w:rPr>
          <w:rFonts w:cs="Arial"/>
          <w:szCs w:val="22"/>
          <w:u w:val="single"/>
        </w:rPr>
        <w:t>Doporučení pro samosprávu</w:t>
      </w:r>
    </w:p>
    <w:p w14:paraId="6A1C77EC" w14:textId="77777777" w:rsidR="001B4719" w:rsidRPr="002B06F3" w:rsidRDefault="001B4719" w:rsidP="001B4719">
      <w:pPr>
        <w:jc w:val="both"/>
      </w:pPr>
      <w:r w:rsidRPr="002B06F3">
        <w:t>V této oblasti nemůže NAP CM ukládat samosprávám cíle ani definovat nástroje. Aktivity v</w:t>
      </w:r>
      <w:r w:rsidR="00546698">
        <w:t> </w:t>
      </w:r>
      <w:r w:rsidRPr="002B06F3">
        <w:t>rámci NAP CM se zaměří na oblast osvěty a</w:t>
      </w:r>
      <w:r w:rsidR="00546698">
        <w:t> </w:t>
      </w:r>
      <w:r w:rsidRPr="002B06F3">
        <w:t>formulace doporučení, jak na základě praktických zkušeností v</w:t>
      </w:r>
      <w:r w:rsidR="00546698">
        <w:t> </w:t>
      </w:r>
      <w:r w:rsidRPr="002B06F3">
        <w:t>ČR, tak i</w:t>
      </w:r>
      <w:r w:rsidR="00546698">
        <w:t> </w:t>
      </w:r>
      <w:r w:rsidRPr="002B06F3">
        <w:t>zahraničí.</w:t>
      </w:r>
    </w:p>
    <w:p w14:paraId="61317EC9" w14:textId="77777777" w:rsidR="001B4719" w:rsidRDefault="001B4719" w:rsidP="001B4719">
      <w:pPr>
        <w:pStyle w:val="odrkaa"/>
        <w:numPr>
          <w:ilvl w:val="0"/>
          <w:numId w:val="23"/>
        </w:numPr>
        <w:jc w:val="both"/>
      </w:pPr>
      <w:r>
        <w:t>Promítnutí elektromobility do dlouhodobých municipálních strategií v</w:t>
      </w:r>
      <w:r w:rsidR="00546698">
        <w:t> </w:t>
      </w:r>
      <w:r>
        <w:t>oblasti dopravy</w:t>
      </w:r>
    </w:p>
    <w:p w14:paraId="42D9CDFF" w14:textId="77777777" w:rsidR="001B4719" w:rsidRPr="002B06F3" w:rsidRDefault="001B4719" w:rsidP="001B4719">
      <w:pPr>
        <w:ind w:left="709"/>
        <w:jc w:val="both"/>
        <w:rPr>
          <w:rFonts w:cs="Arial"/>
          <w:szCs w:val="22"/>
        </w:rPr>
      </w:pPr>
      <w:r w:rsidRPr="002B06F3">
        <w:rPr>
          <w:rFonts w:cs="Arial"/>
          <w:szCs w:val="22"/>
        </w:rPr>
        <w:t>Elektromobilita jako dlouhodobé téma vyžaduje ukotvení do strategií rozvoje měst v</w:t>
      </w:r>
      <w:r w:rsidR="00546698">
        <w:rPr>
          <w:rFonts w:cs="Arial"/>
          <w:szCs w:val="22"/>
        </w:rPr>
        <w:t> </w:t>
      </w:r>
      <w:r w:rsidRPr="002B06F3">
        <w:rPr>
          <w:rFonts w:cs="Arial"/>
          <w:szCs w:val="22"/>
        </w:rPr>
        <w:t>oblasti dopravy nebo využívání území. Města navíc mohou v</w:t>
      </w:r>
      <w:r w:rsidR="00546698">
        <w:rPr>
          <w:rFonts w:cs="Arial"/>
          <w:szCs w:val="22"/>
        </w:rPr>
        <w:t> </w:t>
      </w:r>
      <w:r w:rsidRPr="002B06F3">
        <w:rPr>
          <w:rFonts w:cs="Arial"/>
          <w:szCs w:val="22"/>
        </w:rPr>
        <w:t>rámci své působnosti realizovat řadu podpůrných opatření, např. v</w:t>
      </w:r>
      <w:r w:rsidR="00546698">
        <w:rPr>
          <w:rFonts w:cs="Arial"/>
          <w:szCs w:val="22"/>
        </w:rPr>
        <w:t> </w:t>
      </w:r>
      <w:r w:rsidRPr="002B06F3">
        <w:rPr>
          <w:rFonts w:cs="Arial"/>
          <w:szCs w:val="22"/>
        </w:rPr>
        <w:t>oblasti parkování, využití pruhů pro autobusy apod.</w:t>
      </w:r>
    </w:p>
    <w:p w14:paraId="38C07578" w14:textId="77777777" w:rsidR="001B4719" w:rsidRDefault="001B4719" w:rsidP="001B4719">
      <w:pPr>
        <w:pStyle w:val="odrkaa"/>
        <w:numPr>
          <w:ilvl w:val="0"/>
          <w:numId w:val="23"/>
        </w:numPr>
        <w:jc w:val="both"/>
      </w:pPr>
      <w:r>
        <w:t>Usnadnění podmínek rozvoje dobíjecí infrastruktury (pozemky města)</w:t>
      </w:r>
    </w:p>
    <w:p w14:paraId="4A676186" w14:textId="77777777" w:rsidR="001B4719" w:rsidRDefault="001B4719" w:rsidP="001B4719">
      <w:pPr>
        <w:pStyle w:val="odrkaa"/>
        <w:numPr>
          <w:ilvl w:val="0"/>
          <w:numId w:val="0"/>
        </w:numPr>
        <w:ind w:left="720"/>
        <w:jc w:val="both"/>
      </w:pPr>
      <w:r>
        <w:t>Podobně jako v</w:t>
      </w:r>
      <w:r w:rsidR="00546698">
        <w:t> </w:t>
      </w:r>
      <w:r>
        <w:t>případě pozemků státu, může i</w:t>
      </w:r>
      <w:r w:rsidR="00546698">
        <w:t> </w:t>
      </w:r>
      <w:r>
        <w:t>samospráva usnadnit přístup ke svým pozemkům pro budování dobíjecí infrastruktury, případně toto budování usnadnit zjednodušením potřebných schvalovacích procesů.</w:t>
      </w:r>
    </w:p>
    <w:p w14:paraId="7B151EDA" w14:textId="77777777" w:rsidR="001B4719" w:rsidRPr="00016AEF" w:rsidRDefault="001B4719" w:rsidP="001B4719">
      <w:pPr>
        <w:pStyle w:val="odrkaa"/>
        <w:numPr>
          <w:ilvl w:val="0"/>
          <w:numId w:val="23"/>
        </w:numPr>
        <w:jc w:val="both"/>
      </w:pPr>
      <w:r w:rsidRPr="00016AEF">
        <w:t>Podpora efektivní elektrické MHD</w:t>
      </w:r>
    </w:p>
    <w:p w14:paraId="744D94D7" w14:textId="77777777" w:rsidR="001B4719" w:rsidRPr="00045F42" w:rsidRDefault="001B4719" w:rsidP="001B4719">
      <w:pPr>
        <w:pStyle w:val="odrkaa"/>
        <w:numPr>
          <w:ilvl w:val="0"/>
          <w:numId w:val="0"/>
        </w:numPr>
        <w:ind w:left="720"/>
        <w:jc w:val="both"/>
      </w:pPr>
      <w:r>
        <w:t>Zavádění bezemisních forem MHD bude mít významný přínos, pokud taková doprava bude rychlá, spolehlivá a</w:t>
      </w:r>
      <w:r w:rsidR="00546698">
        <w:t> </w:t>
      </w:r>
      <w:r>
        <w:t>atraktivní. Města by proto měla MHD propagovat a</w:t>
      </w:r>
      <w:r w:rsidR="00546698">
        <w:t> </w:t>
      </w:r>
      <w:r>
        <w:t>preferovat ji v</w:t>
      </w:r>
      <w:r w:rsidR="00546698">
        <w:t> </w:t>
      </w:r>
      <w:r>
        <w:t>uličním prostoru i</w:t>
      </w:r>
      <w:r w:rsidR="00546698">
        <w:t> </w:t>
      </w:r>
      <w:r>
        <w:t>organizací dopravy. 17 českých měst může využít velký potenciál již existujících tramvajových a</w:t>
      </w:r>
      <w:r w:rsidR="00546698">
        <w:t> </w:t>
      </w:r>
      <w:r>
        <w:t>trolejbusových systémů. Měla by v</w:t>
      </w:r>
      <w:r w:rsidR="00546698">
        <w:t> </w:t>
      </w:r>
      <w:r>
        <w:t>první řadě udržovat drážní infrastrukturu a</w:t>
      </w:r>
      <w:r w:rsidR="00546698">
        <w:t> </w:t>
      </w:r>
      <w:r>
        <w:t>pravidelně obnovovat jejich vozový park. Města také mohou aktivně řídit modal-split a</w:t>
      </w:r>
      <w:r w:rsidR="00546698">
        <w:t> </w:t>
      </w:r>
      <w:r>
        <w:t>při územním rozvoji podporovat udržitelné formy dopravy.</w:t>
      </w:r>
    </w:p>
    <w:p w14:paraId="5F5401DA" w14:textId="77777777" w:rsidR="001B4719" w:rsidRDefault="001B4719" w:rsidP="001B4719">
      <w:pPr>
        <w:pStyle w:val="Odstavecseseznamem"/>
        <w:numPr>
          <w:ilvl w:val="0"/>
          <w:numId w:val="18"/>
        </w:numPr>
        <w:spacing w:after="0"/>
        <w:contextualSpacing w:val="0"/>
        <w:jc w:val="both"/>
        <w:rPr>
          <w:rFonts w:cs="Arial"/>
          <w:szCs w:val="22"/>
          <w:u w:val="single"/>
        </w:rPr>
      </w:pPr>
      <w:r w:rsidRPr="002B06F3">
        <w:rPr>
          <w:rFonts w:cs="Arial"/>
          <w:szCs w:val="22"/>
          <w:u w:val="single"/>
        </w:rPr>
        <w:t>Dlouhodobá témata</w:t>
      </w:r>
    </w:p>
    <w:p w14:paraId="34D7EAE0" w14:textId="77777777" w:rsidR="001B4719" w:rsidRDefault="001B4719" w:rsidP="001B4719">
      <w:pPr>
        <w:pStyle w:val="odrkaa"/>
        <w:numPr>
          <w:ilvl w:val="0"/>
          <w:numId w:val="24"/>
        </w:numPr>
        <w:jc w:val="both"/>
      </w:pPr>
      <w:r>
        <w:t>Dobíjení nákladních vozidel na elektřinu</w:t>
      </w:r>
    </w:p>
    <w:p w14:paraId="5A5A75AE" w14:textId="77777777" w:rsidR="001B4719" w:rsidRDefault="001B4719" w:rsidP="001B4719">
      <w:pPr>
        <w:pStyle w:val="odrkaa"/>
        <w:numPr>
          <w:ilvl w:val="0"/>
          <w:numId w:val="0"/>
        </w:numPr>
        <w:ind w:left="720"/>
        <w:jc w:val="both"/>
      </w:pPr>
      <w:r>
        <w:t>V tuto chvíli není jednoznačně zřejmé, do jaké míry se elektromobilita v</w:t>
      </w:r>
      <w:r w:rsidR="00546698">
        <w:t> </w:t>
      </w:r>
      <w:r>
        <w:t>nákladní dopravě prosadí a</w:t>
      </w:r>
      <w:r w:rsidR="00546698">
        <w:t> </w:t>
      </w:r>
      <w:r>
        <w:t>případně jaké technologické řešení bude výhodnější (potenciál záleží na řadě parametrů a</w:t>
      </w:r>
      <w:r w:rsidR="00546698">
        <w:t> </w:t>
      </w:r>
      <w:r>
        <w:t>předpokladů). Proto je navrhováno, aby se v</w:t>
      </w:r>
      <w:r w:rsidR="00546698">
        <w:t> </w:t>
      </w:r>
      <w:r>
        <w:t>rámci NAP CM realizovala analýza, která by provedla komplexní srovnání ekonomické efektivity obou výše uvedených konceptů elektromobility v</w:t>
      </w:r>
      <w:r w:rsidR="00546698">
        <w:t> </w:t>
      </w:r>
      <w:r>
        <w:t>nákladní dopravě, stejně jako o</w:t>
      </w:r>
      <w:r w:rsidR="00546698">
        <w:t> </w:t>
      </w:r>
      <w:r>
        <w:t>srovnání obou těchto konceptů s</w:t>
      </w:r>
      <w:r w:rsidR="00546698">
        <w:t> </w:t>
      </w:r>
      <w:r>
        <w:t>variantou založenou na vodíkové elektromobility, včetně nákladů na související dobíjecí/plnicí infrastrukturu.</w:t>
      </w:r>
    </w:p>
    <w:p w14:paraId="5B617A0A" w14:textId="77777777" w:rsidR="001B4719" w:rsidRDefault="001B4719" w:rsidP="001B4719">
      <w:pPr>
        <w:pStyle w:val="odrkaa"/>
        <w:numPr>
          <w:ilvl w:val="0"/>
          <w:numId w:val="24"/>
        </w:numPr>
        <w:jc w:val="both"/>
      </w:pPr>
      <w:r>
        <w:t>Podpora bateriového průmyslu v</w:t>
      </w:r>
      <w:r w:rsidR="00546698">
        <w:t> </w:t>
      </w:r>
      <w:r>
        <w:t>ČR</w:t>
      </w:r>
    </w:p>
    <w:p w14:paraId="4593A5B4" w14:textId="77777777" w:rsidR="001B4719" w:rsidRDefault="001B4719" w:rsidP="001B4719">
      <w:pPr>
        <w:pStyle w:val="odrkaa"/>
        <w:numPr>
          <w:ilvl w:val="0"/>
          <w:numId w:val="0"/>
        </w:numPr>
        <w:ind w:left="720"/>
        <w:jc w:val="both"/>
      </w:pPr>
      <w:r>
        <w:t>K zajištění dlouhodobé konkurenceschopnosti automobilového průmyslu v</w:t>
      </w:r>
      <w:r w:rsidR="00546698">
        <w:t> </w:t>
      </w:r>
      <w:r>
        <w:t>EU je nutné zajistit lokální zdroj baterií pro vozidla jakožto významné části hodnotového řetězce elektromobility. ČR by měla usilovat o</w:t>
      </w:r>
      <w:r w:rsidR="00546698">
        <w:t> </w:t>
      </w:r>
      <w:r>
        <w:t>to, aby v</w:t>
      </w:r>
      <w:r w:rsidR="00546698">
        <w:t> </w:t>
      </w:r>
      <w:r>
        <w:t>této oblasti sehrála aktivní roli.</w:t>
      </w:r>
    </w:p>
    <w:p w14:paraId="4C48BC96" w14:textId="77777777" w:rsidR="001B4719" w:rsidRDefault="001B4719" w:rsidP="001B4719">
      <w:pPr>
        <w:pStyle w:val="odrkaa"/>
        <w:numPr>
          <w:ilvl w:val="0"/>
          <w:numId w:val="24"/>
        </w:numPr>
        <w:jc w:val="both"/>
      </w:pPr>
      <w:r>
        <w:t>Podpora nejefektivnějších forem bezemisní nekolejové MHD</w:t>
      </w:r>
    </w:p>
    <w:p w14:paraId="1D77AA4D" w14:textId="77777777" w:rsidR="001B4719" w:rsidRDefault="001B4719" w:rsidP="001B4719">
      <w:pPr>
        <w:pStyle w:val="odrkaa"/>
        <w:numPr>
          <w:ilvl w:val="0"/>
          <w:numId w:val="0"/>
        </w:numPr>
        <w:ind w:left="720"/>
        <w:jc w:val="both"/>
      </w:pPr>
      <w:r>
        <w:t>Technologickou i</w:t>
      </w:r>
      <w:r w:rsidR="00546698">
        <w:t> </w:t>
      </w:r>
      <w:r>
        <w:t>provozní výzvou zůstává zavádění bezemisních velkokapacitních vozidel, která zajišťují páteřní dopravu ve městech. Některá města zvažují i</w:t>
      </w:r>
      <w:r w:rsidR="00546698">
        <w:t> </w:t>
      </w:r>
      <w:r>
        <w:t xml:space="preserve">zavedení superkapacitních (dvoukloubových) nekolejových vozidel, která jsou řešením všude tam, kde </w:t>
      </w:r>
      <w:r>
        <w:lastRenderedPageBreak/>
        <w:t>zavedení kolejové dopravy naráží na různé problémy. Současně bude třeba vyřešit bezemisní vytápění elektrobusů MHD.</w:t>
      </w:r>
    </w:p>
    <w:p w14:paraId="12CCFD5A" w14:textId="77777777" w:rsidR="001B4719" w:rsidRDefault="001B4719" w:rsidP="001B4719">
      <w:pPr>
        <w:pStyle w:val="Odstavecseseznamem"/>
        <w:numPr>
          <w:ilvl w:val="0"/>
          <w:numId w:val="18"/>
        </w:numPr>
        <w:spacing w:after="0"/>
        <w:contextualSpacing w:val="0"/>
        <w:jc w:val="both"/>
        <w:rPr>
          <w:rFonts w:cs="Arial"/>
          <w:szCs w:val="22"/>
          <w:u w:val="single"/>
        </w:rPr>
      </w:pPr>
      <w:r>
        <w:rPr>
          <w:rFonts w:cs="Arial"/>
          <w:szCs w:val="22"/>
          <w:u w:val="single"/>
        </w:rPr>
        <w:t>S</w:t>
      </w:r>
      <w:r w:rsidRPr="008E0B43">
        <w:rPr>
          <w:rFonts w:cs="Arial"/>
          <w:szCs w:val="22"/>
          <w:u w:val="single"/>
        </w:rPr>
        <w:t>ystémová témata</w:t>
      </w:r>
    </w:p>
    <w:p w14:paraId="5D203412" w14:textId="77777777" w:rsidR="001B4719" w:rsidRDefault="001B4719" w:rsidP="001B4719">
      <w:pPr>
        <w:pStyle w:val="odrkaa"/>
        <w:numPr>
          <w:ilvl w:val="0"/>
          <w:numId w:val="25"/>
        </w:numPr>
        <w:jc w:val="both"/>
      </w:pPr>
      <w:r>
        <w:t>Provázání NAP CM a</w:t>
      </w:r>
      <w:r w:rsidR="00546698">
        <w:t> </w:t>
      </w:r>
      <w:r>
        <w:t>NAP SG</w:t>
      </w:r>
    </w:p>
    <w:p w14:paraId="377A703B" w14:textId="77777777" w:rsidR="001B4719" w:rsidRDefault="001B4719" w:rsidP="001B4719">
      <w:pPr>
        <w:pStyle w:val="odrkaa"/>
        <w:numPr>
          <w:ilvl w:val="0"/>
          <w:numId w:val="0"/>
        </w:numPr>
        <w:ind w:left="720"/>
        <w:jc w:val="both"/>
      </w:pPr>
      <w:r>
        <w:t>Vzhledem k</w:t>
      </w:r>
      <w:r w:rsidR="00546698">
        <w:t> </w:t>
      </w:r>
      <w:r>
        <w:t>úzké provázanosti problematiky elektromobility s</w:t>
      </w:r>
      <w:r w:rsidR="00546698">
        <w:t> </w:t>
      </w:r>
      <w:r>
        <w:t>agendou, která je řešena v</w:t>
      </w:r>
      <w:r w:rsidR="00546698">
        <w:t> </w:t>
      </w:r>
      <w:r>
        <w:t>rámci NAP SG bude zajištěna průběžná koordinace obou aktivit na úrovni pracovních skupin NAP CM a</w:t>
      </w:r>
      <w:r w:rsidR="00546698">
        <w:t> </w:t>
      </w:r>
      <w:r>
        <w:t>NAP SG.</w:t>
      </w:r>
    </w:p>
    <w:p w14:paraId="6F304B2B" w14:textId="77777777" w:rsidR="001B4719" w:rsidRPr="005C7C48" w:rsidRDefault="001B4719" w:rsidP="001B4719">
      <w:pPr>
        <w:pStyle w:val="odrkaa"/>
        <w:numPr>
          <w:ilvl w:val="0"/>
          <w:numId w:val="25"/>
        </w:numPr>
        <w:jc w:val="both"/>
      </w:pPr>
      <w:r w:rsidRPr="005C7C48">
        <w:t>Provázání s</w:t>
      </w:r>
      <w:r w:rsidR="00546698">
        <w:t> </w:t>
      </w:r>
      <w:r w:rsidRPr="005C7C48">
        <w:t>tvorbou a</w:t>
      </w:r>
      <w:r w:rsidR="00546698">
        <w:t> </w:t>
      </w:r>
      <w:r w:rsidRPr="005C7C48">
        <w:t xml:space="preserve">naplňováním </w:t>
      </w:r>
      <w:r w:rsidRPr="00A2409D">
        <w:rPr>
          <w:rStyle w:val="st1"/>
          <w:color w:val="000000" w:themeColor="text1"/>
        </w:rPr>
        <w:t>strategických plánů udržitelné městské mobility</w:t>
      </w:r>
      <w:r w:rsidRPr="00A2409D">
        <w:rPr>
          <w:rStyle w:val="st1"/>
          <w:color w:val="000000" w:themeColor="text1"/>
          <w:sz w:val="21"/>
        </w:rPr>
        <w:t xml:space="preserve"> </w:t>
      </w:r>
      <w:r>
        <w:rPr>
          <w:rStyle w:val="st1"/>
          <w:rFonts w:cs="Arial"/>
          <w:color w:val="545454"/>
          <w:sz w:val="21"/>
          <w:szCs w:val="21"/>
        </w:rPr>
        <w:t>(</w:t>
      </w:r>
      <w:r w:rsidRPr="005C7C48">
        <w:t>SUMP</w:t>
      </w:r>
      <w:r>
        <w:t>)</w:t>
      </w:r>
    </w:p>
    <w:p w14:paraId="2AC09241" w14:textId="77777777" w:rsidR="001B4719" w:rsidRPr="005C7C48" w:rsidRDefault="001B4719" w:rsidP="001B4719">
      <w:pPr>
        <w:pStyle w:val="odrkaa"/>
        <w:numPr>
          <w:ilvl w:val="0"/>
          <w:numId w:val="0"/>
        </w:numPr>
        <w:ind w:left="720"/>
        <w:jc w:val="both"/>
      </w:pPr>
      <w:r w:rsidRPr="005C7C48">
        <w:t xml:space="preserve">Plány udržitelné mobility včetně obdobných plánů pro aglomerace by měly reflektovat NAP </w:t>
      </w:r>
      <w:r>
        <w:t>C</w:t>
      </w:r>
      <w:r w:rsidRPr="005C7C48">
        <w:t>M a</w:t>
      </w:r>
      <w:r w:rsidR="00546698">
        <w:t> </w:t>
      </w:r>
      <w:r w:rsidRPr="005C7C48">
        <w:t>související strategie. Současně by se mělo zavést vyhodnocování naplňování SUMP i</w:t>
      </w:r>
      <w:r w:rsidR="00546698">
        <w:t> </w:t>
      </w:r>
      <w:r w:rsidRPr="005C7C48">
        <w:t>z</w:t>
      </w:r>
      <w:r>
        <w:t> </w:t>
      </w:r>
      <w:r w:rsidRPr="005C7C48">
        <w:t xml:space="preserve">hlediska NAP čisté mobility. </w:t>
      </w:r>
    </w:p>
    <w:p w14:paraId="38B7952A" w14:textId="77777777" w:rsidR="001B4719" w:rsidRDefault="001B4719" w:rsidP="001B4719">
      <w:pPr>
        <w:pStyle w:val="odrkaa"/>
        <w:numPr>
          <w:ilvl w:val="0"/>
          <w:numId w:val="25"/>
        </w:numPr>
        <w:jc w:val="both"/>
      </w:pPr>
      <w:r>
        <w:t>Preference MHD</w:t>
      </w:r>
    </w:p>
    <w:p w14:paraId="75E24605" w14:textId="77777777" w:rsidR="001B4719" w:rsidRDefault="001B4719" w:rsidP="001B4719">
      <w:pPr>
        <w:pStyle w:val="odrkaa"/>
        <w:numPr>
          <w:ilvl w:val="0"/>
          <w:numId w:val="0"/>
        </w:numPr>
        <w:ind w:left="720"/>
        <w:jc w:val="both"/>
      </w:pPr>
      <w:r>
        <w:t>Využití preference jako nástroje pro snížení emisí a</w:t>
      </w:r>
      <w:r w:rsidR="00546698">
        <w:t> </w:t>
      </w:r>
      <w:r>
        <w:t>energie (přímo v</w:t>
      </w:r>
      <w:r w:rsidR="00546698">
        <w:t> </w:t>
      </w:r>
      <w:r>
        <w:t>MHD a</w:t>
      </w:r>
      <w:r w:rsidR="00546698">
        <w:t> </w:t>
      </w:r>
      <w:r>
        <w:t>nepřímo snížením výkonů IAD). Dalším efektem preference je navýšení cestovní rychlosti, snížení počtu potřebných vozidel a</w:t>
      </w:r>
      <w:r w:rsidR="00546698">
        <w:t> </w:t>
      </w:r>
      <w:r>
        <w:t>navýšení atraktivity - počtu cestujících.</w:t>
      </w:r>
    </w:p>
    <w:p w14:paraId="04A51EE3" w14:textId="77777777" w:rsidR="001B4719" w:rsidRDefault="001B4719" w:rsidP="001B4719">
      <w:pPr>
        <w:pStyle w:val="odrkaa"/>
        <w:numPr>
          <w:ilvl w:val="0"/>
          <w:numId w:val="25"/>
        </w:numPr>
        <w:jc w:val="both"/>
      </w:pPr>
      <w:r>
        <w:t>Dopravní politika ČR pro období do roku 2030</w:t>
      </w:r>
    </w:p>
    <w:p w14:paraId="4D9EA1B0" w14:textId="77777777" w:rsidR="001B4719" w:rsidRDefault="001B4719" w:rsidP="001B4719">
      <w:pPr>
        <w:pStyle w:val="odrkaa"/>
        <w:numPr>
          <w:ilvl w:val="0"/>
          <w:numId w:val="0"/>
        </w:numPr>
        <w:ind w:left="720"/>
        <w:jc w:val="both"/>
      </w:pPr>
      <w:r>
        <w:t>Nová dopravní politika ČR musí reflektovat, že MHD je z</w:t>
      </w:r>
      <w:r w:rsidR="00546698">
        <w:t> </w:t>
      </w:r>
      <w:r>
        <w:t>hlediska přepravního výkonu nejvýznamnější formou udržitelné dopravy a</w:t>
      </w:r>
      <w:r w:rsidR="00546698">
        <w:t> </w:t>
      </w:r>
      <w:r>
        <w:t>skýtá velké příležitosti v</w:t>
      </w:r>
      <w:r w:rsidR="00546698">
        <w:t> </w:t>
      </w:r>
      <w:r>
        <w:t>zavádění bezemisních pohonů. Měla by navrhovat konkrétní cíle rozvoje MHD a</w:t>
      </w:r>
      <w:r w:rsidR="00546698">
        <w:t> </w:t>
      </w:r>
      <w:r>
        <w:t>zavést podrobný monitoring klíčových parametrů MHD ve městech ČR (např. trendy a</w:t>
      </w:r>
      <w:r w:rsidR="00546698">
        <w:t> </w:t>
      </w:r>
      <w:r>
        <w:t>podíl v</w:t>
      </w:r>
      <w:r w:rsidR="00546698">
        <w:t> </w:t>
      </w:r>
      <w:r>
        <w:t>modal-split města, počet bezemisních vozidel, podíl na celkovém stavu a</w:t>
      </w:r>
      <w:r w:rsidR="00546698">
        <w:t> </w:t>
      </w:r>
      <w:r>
        <w:t>dopravním výkonu, průměrného stáří vozidel, rozsah a</w:t>
      </w:r>
      <w:r w:rsidR="00546698">
        <w:t> </w:t>
      </w:r>
      <w:r>
        <w:t>průměrné stáří infrastruktury, preference).</w:t>
      </w:r>
    </w:p>
    <w:p w14:paraId="59ADB1C1" w14:textId="77777777" w:rsidR="001B4719" w:rsidRDefault="001B4719" w:rsidP="001B4719">
      <w:pPr>
        <w:pStyle w:val="odrkaa"/>
        <w:numPr>
          <w:ilvl w:val="0"/>
          <w:numId w:val="25"/>
        </w:numPr>
        <w:jc w:val="both"/>
      </w:pPr>
      <w:r>
        <w:t>Zajištění souladu míry podpory a</w:t>
      </w:r>
      <w:r w:rsidR="00546698">
        <w:t> </w:t>
      </w:r>
      <w:r>
        <w:t>míry efektivity (ekologická a</w:t>
      </w:r>
      <w:r w:rsidR="00546698">
        <w:t> </w:t>
      </w:r>
      <w:r>
        <w:t>energetická) jednotlivých druhů veřejné dopravy</w:t>
      </w:r>
    </w:p>
    <w:p w14:paraId="77892AA0" w14:textId="77777777" w:rsidR="001B4719" w:rsidRDefault="001B4719" w:rsidP="001B4719">
      <w:pPr>
        <w:pStyle w:val="odrkaa"/>
        <w:numPr>
          <w:ilvl w:val="0"/>
          <w:numId w:val="0"/>
        </w:numPr>
        <w:ind w:left="720"/>
        <w:jc w:val="both"/>
      </w:pPr>
      <w:r>
        <w:t>Odstupňování podpory pro jednotlivé druhy veřejné dopravy, včetně drážních systémů MHD, v</w:t>
      </w:r>
      <w:r w:rsidR="00546698">
        <w:t> </w:t>
      </w:r>
      <w:r>
        <w:t>Dopravní politice, dotačních programech a</w:t>
      </w:r>
      <w:r w:rsidR="00546698">
        <w:t> </w:t>
      </w:r>
      <w:r>
        <w:t>dalších národních strategiích</w:t>
      </w:r>
    </w:p>
    <w:p w14:paraId="64354372" w14:textId="77777777" w:rsidR="001B4719" w:rsidRDefault="001B4719" w:rsidP="001B4719">
      <w:pPr>
        <w:pStyle w:val="odrkaa"/>
        <w:numPr>
          <w:ilvl w:val="0"/>
          <w:numId w:val="25"/>
        </w:numPr>
        <w:jc w:val="both"/>
      </w:pPr>
      <w:r>
        <w:t>Zohlednění podpory dalších alternativních pohonů dle novely Směrnice 2009/33/ES (hybridy, kapalná biopaliva) - vozidla i</w:t>
      </w:r>
      <w:r w:rsidR="00546698">
        <w:t> </w:t>
      </w:r>
      <w:r>
        <w:t>infrastruktura</w:t>
      </w:r>
    </w:p>
    <w:p w14:paraId="6A69480D" w14:textId="77777777" w:rsidR="001B4719" w:rsidRDefault="001B4719" w:rsidP="001B4719">
      <w:pPr>
        <w:pStyle w:val="odrkaa"/>
        <w:numPr>
          <w:ilvl w:val="0"/>
          <w:numId w:val="0"/>
        </w:numPr>
        <w:ind w:left="720"/>
        <w:jc w:val="both"/>
      </w:pPr>
      <w:r>
        <w:t>Pokrytí dosud nepodporovaných druhů alternativních pohonů</w:t>
      </w:r>
    </w:p>
    <w:p w14:paraId="63FDFA2E" w14:textId="77777777" w:rsidR="001B4719" w:rsidRDefault="001B4719" w:rsidP="001B4719">
      <w:pPr>
        <w:pStyle w:val="odrkaa"/>
        <w:numPr>
          <w:ilvl w:val="0"/>
          <w:numId w:val="25"/>
        </w:numPr>
        <w:jc w:val="both"/>
      </w:pPr>
      <w:r>
        <w:t>Zajištění dlouhodobé finanční udržitelnosti projektů bezemisní dopravy</w:t>
      </w:r>
    </w:p>
    <w:p w14:paraId="2173A049" w14:textId="77777777" w:rsidR="001B4719" w:rsidRDefault="001B4719" w:rsidP="001B4719">
      <w:pPr>
        <w:pStyle w:val="odrkaa"/>
        <w:numPr>
          <w:ilvl w:val="0"/>
          <w:numId w:val="0"/>
        </w:numPr>
        <w:ind w:left="720"/>
        <w:jc w:val="both"/>
      </w:pPr>
      <w:r>
        <w:t>Nevýhodou dotačních projektů je jednorázová investice, která se neodepisuje a</w:t>
      </w:r>
      <w:r w:rsidR="00546698">
        <w:t> </w:t>
      </w:r>
      <w:r>
        <w:t>netvoří tak potřebné zdroje pro obnovu technologie a</w:t>
      </w:r>
      <w:r w:rsidR="00546698">
        <w:t> </w:t>
      </w:r>
      <w:r>
        <w:t>udržení zavedeného „opatření“ (pořízení nové technologie, nového druhu pohonu). Je nezbytné hledat cesty, jak zajistit dlouhodobou udržitelnost pořizování nízkoemisních a</w:t>
      </w:r>
      <w:r w:rsidR="00546698">
        <w:t> </w:t>
      </w:r>
      <w:r>
        <w:t>bezemisních vozidel, nikoli jen udržitelnost danou pravidly čerpání dotace. Je třeba nastavit systém (pobídky) trvalé podpory, zejména pro řešení obnovy vozidel a</w:t>
      </w:r>
      <w:r w:rsidR="00546698">
        <w:t> </w:t>
      </w:r>
      <w:r>
        <w:t>infrastruktury po skončení jejich životnosti, jenž musí být využitelný i</w:t>
      </w:r>
      <w:r w:rsidR="00546698">
        <w:t> </w:t>
      </w:r>
      <w:r>
        <w:t>pro dříve realizované projekty (z ROPů, IROP, OPD apod.). Může se jednat například o</w:t>
      </w:r>
      <w:r w:rsidR="00546698">
        <w:t> </w:t>
      </w:r>
      <w:r>
        <w:t>výhledovou národní podporu obnovy bezemisních vozidel MHD paušální částkou po vzoru Rakouska.</w:t>
      </w:r>
    </w:p>
    <w:p w14:paraId="6BD8E7BC" w14:textId="77777777" w:rsidR="001B4719" w:rsidRDefault="001B4719" w:rsidP="001B4719">
      <w:pPr>
        <w:spacing w:before="0" w:after="200" w:line="276" w:lineRule="auto"/>
        <w:rPr>
          <w:rFonts w:cs="Arial"/>
          <w:b/>
          <w:bCs/>
          <w:kern w:val="32"/>
          <w:sz w:val="28"/>
          <w:szCs w:val="32"/>
        </w:rPr>
      </w:pPr>
      <w:r>
        <w:br w:type="page"/>
      </w:r>
    </w:p>
    <w:p w14:paraId="7B3F019E" w14:textId="77777777" w:rsidR="001B4719" w:rsidRPr="00913228" w:rsidRDefault="001B4719" w:rsidP="007E54C7">
      <w:pPr>
        <w:pStyle w:val="Nadpis1"/>
      </w:pPr>
      <w:bookmarkStart w:id="233" w:name="_Toc25067654"/>
      <w:bookmarkStart w:id="234" w:name="_Toc25084472"/>
      <w:bookmarkStart w:id="235" w:name="_Toc25136797"/>
      <w:bookmarkStart w:id="236" w:name="_Toc34295922"/>
      <w:r>
        <w:lastRenderedPageBreak/>
        <w:t>Analytický materiál - p</w:t>
      </w:r>
      <w:r w:rsidRPr="00A9618E">
        <w:t>lyn v</w:t>
      </w:r>
      <w:r w:rsidR="00546698">
        <w:t> </w:t>
      </w:r>
      <w:r w:rsidRPr="00A9618E">
        <w:t>rámci NAP CM</w:t>
      </w:r>
      <w:bookmarkEnd w:id="231"/>
      <w:bookmarkEnd w:id="232"/>
      <w:bookmarkEnd w:id="233"/>
      <w:bookmarkEnd w:id="234"/>
      <w:bookmarkEnd w:id="235"/>
      <w:bookmarkEnd w:id="236"/>
    </w:p>
    <w:p w14:paraId="3B2E0103" w14:textId="77777777" w:rsidR="001B4719" w:rsidRPr="0050685D" w:rsidRDefault="001B4719" w:rsidP="001B4719">
      <w:pPr>
        <w:pStyle w:val="Nadpis2"/>
        <w:numPr>
          <w:ilvl w:val="1"/>
          <w:numId w:val="9"/>
        </w:numPr>
        <w:jc w:val="both"/>
      </w:pPr>
      <w:bookmarkStart w:id="237" w:name="_Toc13685867"/>
      <w:bookmarkStart w:id="238" w:name="_Toc13753760"/>
      <w:bookmarkStart w:id="239" w:name="_Toc19792327"/>
      <w:bookmarkStart w:id="240" w:name="_Toc25067655"/>
      <w:bookmarkStart w:id="241" w:name="_Toc25084473"/>
      <w:bookmarkStart w:id="242" w:name="_Toc25136798"/>
      <w:bookmarkStart w:id="243" w:name="_Toc34295923"/>
      <w:r w:rsidRPr="0050685D">
        <w:t>Stručné vyhodnocení cílů původního NAP CM</w:t>
      </w:r>
      <w:bookmarkEnd w:id="237"/>
      <w:bookmarkEnd w:id="238"/>
      <w:bookmarkEnd w:id="239"/>
      <w:bookmarkEnd w:id="240"/>
      <w:bookmarkEnd w:id="241"/>
      <w:bookmarkEnd w:id="242"/>
      <w:bookmarkEnd w:id="243"/>
    </w:p>
    <w:p w14:paraId="6EE9983E" w14:textId="77777777" w:rsidR="001B4719" w:rsidRPr="00FF1C2A" w:rsidRDefault="001B4719" w:rsidP="001B4719">
      <w:pPr>
        <w:jc w:val="both"/>
      </w:pPr>
      <w:bookmarkStart w:id="244" w:name="_Toc13685868"/>
      <w:bookmarkStart w:id="245" w:name="_Toc13753761"/>
      <w:r w:rsidRPr="00FF1C2A">
        <w:t>Z celoevropského pohledu je rozvoj CNG v</w:t>
      </w:r>
      <w:r w:rsidR="00546698">
        <w:t> </w:t>
      </w:r>
      <w:r w:rsidRPr="00FF1C2A">
        <w:t>České republice dlouhodobě velmi dobrý. ČR lze v</w:t>
      </w:r>
      <w:r w:rsidR="00546698">
        <w:t> </w:t>
      </w:r>
      <w:r w:rsidRPr="00FF1C2A">
        <w:t>počtu CNG vozidel i</w:t>
      </w:r>
      <w:r w:rsidR="00546698">
        <w:t> </w:t>
      </w:r>
      <w:r w:rsidRPr="00FF1C2A">
        <w:t>plnicích stanic zařadit do skupiny zemí jako Itálie, Německo, Rakousko, Švédsko či Španělsko, to je mezi země s</w:t>
      </w:r>
      <w:r w:rsidR="00546698">
        <w:t> </w:t>
      </w:r>
      <w:r w:rsidRPr="00FF1C2A">
        <w:t>nejvíce rozvinutou infrastrukturou a</w:t>
      </w:r>
      <w:r w:rsidR="00546698">
        <w:t> </w:t>
      </w:r>
      <w:r w:rsidRPr="00FF1C2A">
        <w:t>počtem provozovaných CNG vozů, včetně servisních služeb. Např. v</w:t>
      </w:r>
      <w:r w:rsidR="00546698">
        <w:t> </w:t>
      </w:r>
      <w:r w:rsidRPr="00FF1C2A">
        <w:t>současnosti jsme v</w:t>
      </w:r>
      <w:r w:rsidR="00546698">
        <w:t> </w:t>
      </w:r>
      <w:r w:rsidRPr="00FF1C2A">
        <w:t>oblasti CNG infrastruktury i</w:t>
      </w:r>
      <w:r w:rsidR="00546698">
        <w:t> </w:t>
      </w:r>
      <w:r w:rsidRPr="00FF1C2A">
        <w:t>počtu aut plně srovnatelná země s</w:t>
      </w:r>
      <w:r w:rsidR="00546698">
        <w:t> </w:t>
      </w:r>
      <w:r w:rsidRPr="00FF1C2A">
        <w:t>námi geograficky velmi blízkým Rakouskem.</w:t>
      </w:r>
    </w:p>
    <w:p w14:paraId="12827FA8" w14:textId="77777777" w:rsidR="001B4719" w:rsidRPr="00FF1C2A" w:rsidRDefault="001B4719" w:rsidP="001B4719">
      <w:pPr>
        <w:jc w:val="both"/>
      </w:pPr>
      <w:r w:rsidRPr="00FF1C2A">
        <w:t>Vývoj vozového parku CNG aut, i</w:t>
      </w:r>
      <w:r w:rsidR="00546698">
        <w:t> </w:t>
      </w:r>
      <w:r w:rsidRPr="00FF1C2A">
        <w:t>přes pokles prodeje v</w:t>
      </w:r>
      <w:r w:rsidR="00546698">
        <w:t> </w:t>
      </w:r>
      <w:r w:rsidRPr="00FF1C2A">
        <w:t>roce 2018, způsobený nedostatkem CNG aut na českém trhu, se dlouhodobě pohybuje okolo 30</w:t>
      </w:r>
      <w:r>
        <w:t xml:space="preserve"> </w:t>
      </w:r>
      <w:r w:rsidRPr="00FF1C2A">
        <w:t>% meziročního růstu a</w:t>
      </w:r>
      <w:r w:rsidR="00546698">
        <w:t> </w:t>
      </w:r>
      <w:r w:rsidRPr="00FF1C2A">
        <w:t>představuje okolo 23</w:t>
      </w:r>
      <w:r w:rsidR="00CC212B">
        <w:t> </w:t>
      </w:r>
      <w:r w:rsidRPr="00FF1C2A">
        <w:t>tisíc vozidel. Díky podpoře v</w:t>
      </w:r>
      <w:r w:rsidR="00546698">
        <w:t> </w:t>
      </w:r>
      <w:r w:rsidRPr="00FF1C2A">
        <w:t>rámci IROP je významný růst počtu CNG autobusů, kterých dopravci provozují cca 1300 což je více než 6</w:t>
      </w:r>
      <w:r>
        <w:t xml:space="preserve"> </w:t>
      </w:r>
      <w:r w:rsidRPr="00FF1C2A">
        <w:t>% celkového vozového parku v</w:t>
      </w:r>
      <w:r w:rsidR="00546698">
        <w:t> </w:t>
      </w:r>
      <w:r w:rsidRPr="00FF1C2A">
        <w:t>ČR. LNG nákladní auta jsou doposud využívána pouze jako testovací s</w:t>
      </w:r>
      <w:r w:rsidR="00546698">
        <w:t> </w:t>
      </w:r>
      <w:r w:rsidRPr="00FF1C2A">
        <w:t>očekávaným růstem ve vazbě na připravovanou infrastrukturu plnicích stanic LNG.</w:t>
      </w:r>
    </w:p>
    <w:p w14:paraId="336810B2" w14:textId="77777777" w:rsidR="001B4719" w:rsidRPr="00FF1C2A" w:rsidRDefault="001B4719" w:rsidP="001B4719">
      <w:pPr>
        <w:jc w:val="both"/>
      </w:pPr>
      <w:r w:rsidRPr="00FF1C2A">
        <w:t>Infrastruktura plnicích stanic CNG se každoročně rozvijí. V</w:t>
      </w:r>
      <w:r w:rsidR="00546698">
        <w:t> </w:t>
      </w:r>
      <w:r w:rsidRPr="00FF1C2A">
        <w:t>ČR je v</w:t>
      </w:r>
      <w:r w:rsidR="00546698">
        <w:t> </w:t>
      </w:r>
      <w:r w:rsidRPr="00FF1C2A">
        <w:t>současnosti provozováno 190</w:t>
      </w:r>
      <w:r w:rsidR="00844941">
        <w:t> </w:t>
      </w:r>
      <w:r w:rsidRPr="00FF1C2A">
        <w:t>veřejných plnicích stanic CNG s</w:t>
      </w:r>
      <w:r w:rsidR="00546698">
        <w:t> </w:t>
      </w:r>
      <w:r w:rsidRPr="00FF1C2A">
        <w:t>průměrným meziročním růstem 25</w:t>
      </w:r>
      <w:r>
        <w:t xml:space="preserve"> </w:t>
      </w:r>
      <w:r w:rsidRPr="00FF1C2A">
        <w:t>%. Ve více než 80 městech je dnes k</w:t>
      </w:r>
      <w:r w:rsidR="00546698">
        <w:t> </w:t>
      </w:r>
      <w:r w:rsidRPr="00FF1C2A">
        <w:t>dispozici alespoň jedna plnicí stanice CNG, např. v</w:t>
      </w:r>
      <w:r w:rsidR="00546698">
        <w:t> </w:t>
      </w:r>
      <w:r w:rsidRPr="00FF1C2A">
        <w:t>Praze je 23, v</w:t>
      </w:r>
      <w:r w:rsidR="00546698">
        <w:t> </w:t>
      </w:r>
      <w:r w:rsidRPr="00FF1C2A">
        <w:t>Brně 8, v</w:t>
      </w:r>
      <w:r w:rsidR="00546698">
        <w:t> </w:t>
      </w:r>
      <w:r w:rsidRPr="00FF1C2A">
        <w:t>Plzni 6 a</w:t>
      </w:r>
      <w:r w:rsidR="00546698">
        <w:t> </w:t>
      </w:r>
      <w:r w:rsidRPr="00FF1C2A">
        <w:t>v</w:t>
      </w:r>
      <w:r>
        <w:t> </w:t>
      </w:r>
      <w:r w:rsidRPr="00FF1C2A">
        <w:t>Ostravě 5 plnicích stanic CNG. Úprava technické legislativy umožnila výstavbu plnicích stanic CNG přímo na čerpacích stanicích PHM a</w:t>
      </w:r>
      <w:r w:rsidR="00546698">
        <w:t> </w:t>
      </w:r>
      <w:r w:rsidRPr="00FF1C2A">
        <w:t>právě v</w:t>
      </w:r>
      <w:r w:rsidR="00546698">
        <w:t> </w:t>
      </w:r>
      <w:r w:rsidRPr="00FF1C2A">
        <w:t>síti čerpacích stanic je dnes již více než 60</w:t>
      </w:r>
      <w:r>
        <w:t xml:space="preserve"> </w:t>
      </w:r>
      <w:r w:rsidRPr="00FF1C2A">
        <w:t>% plnicích stanic CNG. V</w:t>
      </w:r>
      <w:r w:rsidR="00546698">
        <w:t> </w:t>
      </w:r>
      <w:r w:rsidRPr="00FF1C2A">
        <w:t>ČR je v</w:t>
      </w:r>
      <w:r w:rsidR="00546698">
        <w:t> </w:t>
      </w:r>
      <w:r w:rsidRPr="00FF1C2A">
        <w:t>provozu rovněž okolo 50 neveřejných, firemních plnicích stanic CNG a</w:t>
      </w:r>
      <w:r w:rsidR="00546698">
        <w:t> </w:t>
      </w:r>
      <w:r w:rsidRPr="00FF1C2A">
        <w:t>cca 200 domácích pomaluplnicích zařízení, dále jedna veřejná LNG stanice a</w:t>
      </w:r>
      <w:r w:rsidR="00546698">
        <w:t> </w:t>
      </w:r>
      <w:r w:rsidRPr="00FF1C2A">
        <w:t>několik mobilních plnicích stanic LNG, převážně využívaných firmami při testování nákladních vozů na LNG.</w:t>
      </w:r>
    </w:p>
    <w:p w14:paraId="3A554D23" w14:textId="77777777" w:rsidR="001B4719" w:rsidRPr="00FF1C2A" w:rsidRDefault="001B4719" w:rsidP="001B4719">
      <w:pPr>
        <w:jc w:val="both"/>
      </w:pPr>
      <w:r w:rsidRPr="00FF1C2A">
        <w:t>Objem zemního plynu spotřebovaného v</w:t>
      </w:r>
      <w:r w:rsidR="00546698">
        <w:t> </w:t>
      </w:r>
      <w:r w:rsidRPr="00FF1C2A">
        <w:t>dopravě v</w:t>
      </w:r>
      <w:r w:rsidR="00546698">
        <w:t> </w:t>
      </w:r>
      <w:r w:rsidRPr="00FF1C2A">
        <w:t>České republice se každoročně zvyšuje a</w:t>
      </w:r>
      <w:r w:rsidR="00546698">
        <w:t> </w:t>
      </w:r>
      <w:r w:rsidRPr="00FF1C2A">
        <w:t>za poslední tři roky se téměř ztrojnásobil a</w:t>
      </w:r>
      <w:r w:rsidR="00546698">
        <w:t> </w:t>
      </w:r>
      <w:r w:rsidRPr="00FF1C2A">
        <w:t>dosáhl necelých 76 mil. m</w:t>
      </w:r>
      <w:r w:rsidRPr="00FF1C2A">
        <w:rPr>
          <w:vertAlign w:val="superscript"/>
        </w:rPr>
        <w:t>3</w:t>
      </w:r>
      <w:r w:rsidRPr="00FF1C2A">
        <w:t>. V</w:t>
      </w:r>
      <w:r w:rsidR="00546698">
        <w:t> </w:t>
      </w:r>
      <w:r w:rsidRPr="00FF1C2A">
        <w:t>meziročním růstu je v</w:t>
      </w:r>
      <w:r w:rsidR="00546698">
        <w:t> </w:t>
      </w:r>
      <w:r w:rsidRPr="00FF1C2A">
        <w:t>posledních dvou letech patrný pokles. V</w:t>
      </w:r>
      <w:r w:rsidR="00546698">
        <w:t> </w:t>
      </w:r>
      <w:r w:rsidRPr="00FF1C2A">
        <w:t>roce 2018 byl zaznamenán nárůst prodeje CNG 12,2 % oproti předešlému roku (13,9 %), přičemž v</w:t>
      </w:r>
      <w:r w:rsidR="00546698">
        <w:t> </w:t>
      </w:r>
      <w:r w:rsidRPr="00FF1C2A">
        <w:t>roce 2016 byl nárůst 36,1 % a</w:t>
      </w:r>
      <w:r w:rsidR="00546698">
        <w:t> </w:t>
      </w:r>
      <w:r w:rsidRPr="00FF1C2A">
        <w:t>v</w:t>
      </w:r>
      <w:r>
        <w:t> </w:t>
      </w:r>
      <w:r w:rsidRPr="00FF1C2A">
        <w:t>roce 2015 dokonce 45,7</w:t>
      </w:r>
      <w:r w:rsidR="00844941">
        <w:t> </w:t>
      </w:r>
      <w:r w:rsidRPr="00FF1C2A">
        <w:t>%. K</w:t>
      </w:r>
      <w:r w:rsidR="00546698">
        <w:t> </w:t>
      </w:r>
      <w:r w:rsidRPr="00FF1C2A">
        <w:t>růstu spotřeby dochází jak zvyšováním počtu vozidel (především CNG autobusy se na prodeji podílí více než jednou třetinou), tak i</w:t>
      </w:r>
      <w:r w:rsidR="00546698">
        <w:t> </w:t>
      </w:r>
      <w:r w:rsidRPr="00FF1C2A">
        <w:t>stále větší dostupností veřejných plnicích stanic.</w:t>
      </w:r>
    </w:p>
    <w:p w14:paraId="757D14B3" w14:textId="77777777" w:rsidR="001B4719" w:rsidRPr="00FF1C2A" w:rsidRDefault="001B4719" w:rsidP="001B4719">
      <w:pPr>
        <w:jc w:val="both"/>
      </w:pPr>
      <w:r w:rsidRPr="00FF1C2A">
        <w:t>Nevyřešenou bariérou, která silně ovlivňuje rozvoj CNG aut, zůstává problematika jejich parkování v</w:t>
      </w:r>
      <w:r w:rsidR="00546698">
        <w:t> </w:t>
      </w:r>
      <w:r w:rsidRPr="00FF1C2A">
        <w:t>hromadných podzemních garážích.</w:t>
      </w:r>
    </w:p>
    <w:p w14:paraId="5A9000D3" w14:textId="77777777" w:rsidR="001B4719" w:rsidRPr="0050685D" w:rsidRDefault="001B4719" w:rsidP="001B4719">
      <w:pPr>
        <w:jc w:val="both"/>
      </w:pPr>
    </w:p>
    <w:p w14:paraId="617C8AC6" w14:textId="77777777" w:rsidR="001B4719" w:rsidRDefault="001B4719" w:rsidP="001B4719">
      <w:pPr>
        <w:spacing w:before="0" w:after="0"/>
        <w:jc w:val="both"/>
        <w:rPr>
          <w:rFonts w:cs="Arial"/>
          <w:b/>
          <w:bCs/>
          <w:iCs/>
          <w:sz w:val="24"/>
          <w:szCs w:val="28"/>
        </w:rPr>
      </w:pPr>
      <w:r>
        <w:br w:type="page"/>
      </w:r>
    </w:p>
    <w:p w14:paraId="01E4ABE5" w14:textId="77777777" w:rsidR="001B4719" w:rsidRPr="005F18C6" w:rsidRDefault="001B4719" w:rsidP="001B4719">
      <w:pPr>
        <w:pStyle w:val="Nadpis2"/>
        <w:numPr>
          <w:ilvl w:val="1"/>
          <w:numId w:val="9"/>
        </w:numPr>
        <w:jc w:val="both"/>
      </w:pPr>
      <w:bookmarkStart w:id="246" w:name="_Toc19792328"/>
      <w:bookmarkStart w:id="247" w:name="_Toc25067656"/>
      <w:bookmarkStart w:id="248" w:name="_Toc25084474"/>
      <w:bookmarkStart w:id="249" w:name="_Toc25136799"/>
      <w:bookmarkStart w:id="250" w:name="_Toc34295924"/>
      <w:r w:rsidRPr="005F18C6">
        <w:lastRenderedPageBreak/>
        <w:t>Rekapitulace východisek pro rozvoj mobility v</w:t>
      </w:r>
      <w:r w:rsidR="00546698">
        <w:t> </w:t>
      </w:r>
      <w:r w:rsidRPr="005F18C6">
        <w:t xml:space="preserve">oblasti CNG, LNG, </w:t>
      </w:r>
      <w:r>
        <w:t>biometan</w:t>
      </w:r>
      <w:r w:rsidRPr="005F18C6">
        <w:t>u (stávající stav)</w:t>
      </w:r>
      <w:bookmarkEnd w:id="244"/>
      <w:bookmarkEnd w:id="245"/>
      <w:bookmarkEnd w:id="246"/>
      <w:bookmarkEnd w:id="247"/>
      <w:bookmarkEnd w:id="248"/>
      <w:bookmarkEnd w:id="249"/>
      <w:bookmarkEnd w:id="250"/>
    </w:p>
    <w:p w14:paraId="3CA31B20" w14:textId="77777777" w:rsidR="001B4719" w:rsidRDefault="001B4719" w:rsidP="001B4719">
      <w:pPr>
        <w:pStyle w:val="Nadpis3"/>
        <w:numPr>
          <w:ilvl w:val="2"/>
          <w:numId w:val="9"/>
        </w:numPr>
        <w:tabs>
          <w:tab w:val="left" w:pos="851"/>
          <w:tab w:val="num" w:pos="2411"/>
        </w:tabs>
        <w:ind w:left="284" w:firstLine="0"/>
        <w:jc w:val="both"/>
      </w:pPr>
      <w:bookmarkStart w:id="251" w:name="_Toc13753762"/>
      <w:bookmarkStart w:id="252" w:name="_Toc19792329"/>
      <w:bookmarkStart w:id="253" w:name="_Toc25084475"/>
      <w:bookmarkStart w:id="254" w:name="_Toc25136800"/>
      <w:bookmarkStart w:id="255" w:name="_Toc34295925"/>
      <w:r>
        <w:t>Východiska</w:t>
      </w:r>
      <w:bookmarkEnd w:id="251"/>
      <w:bookmarkEnd w:id="252"/>
      <w:bookmarkEnd w:id="253"/>
      <w:bookmarkEnd w:id="254"/>
      <w:bookmarkEnd w:id="255"/>
    </w:p>
    <w:p w14:paraId="5854778A" w14:textId="77777777" w:rsidR="001B4719" w:rsidRDefault="001B4719" w:rsidP="001B4719">
      <w:pPr>
        <w:jc w:val="both"/>
      </w:pPr>
      <w:r w:rsidRPr="0050685D">
        <w:t>Aktualizace kapitoly Plyn vychází z</w:t>
      </w:r>
      <w:r w:rsidR="00546698">
        <w:t> </w:t>
      </w:r>
      <w:r w:rsidRPr="0050685D">
        <w:t>ročních informativních zpráv a</w:t>
      </w:r>
      <w:r w:rsidR="00546698">
        <w:t> </w:t>
      </w:r>
      <w:r w:rsidRPr="0050685D">
        <w:t>vystihuje nejen reálný stav trhu, ale taktéž zachycuje reálný vývoj a</w:t>
      </w:r>
      <w:r w:rsidR="00546698">
        <w:t> </w:t>
      </w:r>
      <w:r w:rsidRPr="0050685D">
        <w:t>rozvoj trhu s</w:t>
      </w:r>
      <w:r w:rsidR="00546698">
        <w:t> </w:t>
      </w:r>
      <w:r w:rsidRPr="0050685D">
        <w:t>predikcí dalšího možného vývoje do roku 2030. Z</w:t>
      </w:r>
      <w:r w:rsidR="00546698">
        <w:t> </w:t>
      </w:r>
      <w:r w:rsidRPr="0050685D">
        <w:t>důvodu přímé vazby na</w:t>
      </w:r>
      <w:r>
        <w:t xml:space="preserve"> </w:t>
      </w:r>
      <w:r w:rsidRPr="0050685D">
        <w:t xml:space="preserve">směrnici </w:t>
      </w:r>
      <w:r>
        <w:t xml:space="preserve">2014/94/EU </w:t>
      </w:r>
      <w:r w:rsidRPr="0050685D">
        <w:t>je v</w:t>
      </w:r>
      <w:r w:rsidR="00546698">
        <w:t> </w:t>
      </w:r>
      <w:r w:rsidRPr="0050685D">
        <w:t>rámci této podkapitoly řešena otázka jak rozvoje CNG a</w:t>
      </w:r>
      <w:r w:rsidR="00546698">
        <w:t> </w:t>
      </w:r>
      <w:r w:rsidRPr="0050685D">
        <w:t>LNG, tak i</w:t>
      </w:r>
      <w:r w:rsidR="00546698">
        <w:t> </w:t>
      </w:r>
      <w:r w:rsidRPr="0050685D">
        <w:t>zejména bioCNG a</w:t>
      </w:r>
      <w:r w:rsidR="00546698">
        <w:t> </w:t>
      </w:r>
      <w:r w:rsidRPr="0050685D">
        <w:t xml:space="preserve">bioLNG. </w:t>
      </w:r>
    </w:p>
    <w:p w14:paraId="3B7ABC9B" w14:textId="77777777" w:rsidR="001B4719" w:rsidRPr="005F18C6" w:rsidRDefault="001B4719" w:rsidP="001B4719">
      <w:pPr>
        <w:pStyle w:val="Nadpis3"/>
        <w:numPr>
          <w:ilvl w:val="2"/>
          <w:numId w:val="9"/>
        </w:numPr>
        <w:tabs>
          <w:tab w:val="left" w:pos="851"/>
          <w:tab w:val="num" w:pos="2411"/>
        </w:tabs>
        <w:ind w:left="284" w:firstLine="0"/>
        <w:jc w:val="both"/>
      </w:pPr>
      <w:bookmarkStart w:id="256" w:name="_Toc13685870"/>
      <w:bookmarkStart w:id="257" w:name="_Toc13753763"/>
      <w:bookmarkStart w:id="258" w:name="_Toc19792330"/>
      <w:bookmarkStart w:id="259" w:name="_Toc25084476"/>
      <w:bookmarkStart w:id="260" w:name="_Toc25136801"/>
      <w:bookmarkStart w:id="261" w:name="_Toc34295926"/>
      <w:r w:rsidRPr="005F18C6">
        <w:t>Popis současného stavu</w:t>
      </w:r>
      <w:bookmarkEnd w:id="256"/>
      <w:bookmarkEnd w:id="257"/>
      <w:bookmarkEnd w:id="258"/>
      <w:bookmarkEnd w:id="259"/>
      <w:bookmarkEnd w:id="260"/>
      <w:bookmarkEnd w:id="261"/>
    </w:p>
    <w:p w14:paraId="6EA2471E" w14:textId="77777777" w:rsidR="001B4719" w:rsidRPr="005F18C6" w:rsidRDefault="001B4719" w:rsidP="001B4719">
      <w:pPr>
        <w:pStyle w:val="Nadpis4"/>
        <w:numPr>
          <w:ilvl w:val="3"/>
          <w:numId w:val="9"/>
        </w:numPr>
        <w:jc w:val="both"/>
      </w:pPr>
      <w:bookmarkStart w:id="262" w:name="_Toc13685871"/>
      <w:bookmarkStart w:id="263" w:name="_Toc13753764"/>
      <w:bookmarkStart w:id="264" w:name="_Toc19792331"/>
      <w:bookmarkStart w:id="265" w:name="_Toc25136802"/>
      <w:bookmarkStart w:id="266" w:name="_Toc34295927"/>
      <w:r w:rsidRPr="005F18C6">
        <w:t>CNG / LNG</w:t>
      </w:r>
      <w:bookmarkEnd w:id="262"/>
      <w:bookmarkEnd w:id="263"/>
      <w:bookmarkEnd w:id="264"/>
      <w:bookmarkEnd w:id="265"/>
      <w:bookmarkEnd w:id="266"/>
    </w:p>
    <w:p w14:paraId="628F4EAB" w14:textId="77777777" w:rsidR="001B4719" w:rsidRPr="0050685D" w:rsidRDefault="001B4719" w:rsidP="001B4719">
      <w:pPr>
        <w:jc w:val="both"/>
      </w:pPr>
      <w:r w:rsidRPr="0050685D">
        <w:t>CNG je v</w:t>
      </w:r>
      <w:r w:rsidR="00546698">
        <w:t> </w:t>
      </w:r>
      <w:r w:rsidRPr="0050685D">
        <w:t>současnosti nejrozvinutější alternativní technologií u</w:t>
      </w:r>
      <w:r w:rsidR="00546698">
        <w:t> </w:t>
      </w:r>
      <w:r w:rsidRPr="0050685D">
        <w:t>sériově vyráběných vozidel, která je v</w:t>
      </w:r>
      <w:r w:rsidR="00546698">
        <w:t> </w:t>
      </w:r>
      <w:r w:rsidRPr="0050685D">
        <w:t>praxi zcela ověřena a</w:t>
      </w:r>
      <w:r w:rsidR="00546698">
        <w:t> </w:t>
      </w:r>
      <w:r w:rsidRPr="0050685D">
        <w:t>má velký okamžitý přínos pro zlepšení kvality ovzduší ve městech a</w:t>
      </w:r>
      <w:r w:rsidR="00546698">
        <w:t> </w:t>
      </w:r>
      <w:r w:rsidRPr="0050685D">
        <w:t>snížení celkových emisí z</w:t>
      </w:r>
      <w:r w:rsidR="00546698">
        <w:t> </w:t>
      </w:r>
      <w:r w:rsidRPr="0050685D">
        <w:t xml:space="preserve">dopravy. Vláda ČR </w:t>
      </w:r>
      <w:r>
        <w:t xml:space="preserve">si je </w:t>
      </w:r>
      <w:r w:rsidRPr="0050685D">
        <w:t>dobře vědoma potenciálu zemního plynu (CNG) a</w:t>
      </w:r>
      <w:r w:rsidR="00546698">
        <w:t> </w:t>
      </w:r>
      <w:r>
        <w:t>biometan</w:t>
      </w:r>
      <w:r w:rsidRPr="0050685D">
        <w:t>u (bioCNG) v</w:t>
      </w:r>
      <w:r w:rsidR="00546698">
        <w:t> </w:t>
      </w:r>
      <w:r w:rsidRPr="0050685D">
        <w:t xml:space="preserve">dopravě </w:t>
      </w:r>
      <w:r>
        <w:t>a</w:t>
      </w:r>
      <w:r w:rsidR="00546698">
        <w:t> </w:t>
      </w:r>
      <w:r w:rsidRPr="0050685D">
        <w:t>podepsala s</w:t>
      </w:r>
      <w:r w:rsidR="00546698">
        <w:t> </w:t>
      </w:r>
      <w:r w:rsidRPr="0050685D">
        <w:t>plynárenskými společnostmi v</w:t>
      </w:r>
      <w:r w:rsidR="00546698">
        <w:t> </w:t>
      </w:r>
      <w:r w:rsidRPr="0050685D">
        <w:t xml:space="preserve">roce 2018 </w:t>
      </w:r>
      <w:r w:rsidRPr="0050685D">
        <w:rPr>
          <w:i/>
          <w:iCs/>
        </w:rPr>
        <w:t>Memorandum o</w:t>
      </w:r>
      <w:r w:rsidR="00546698">
        <w:rPr>
          <w:i/>
          <w:iCs/>
        </w:rPr>
        <w:t> </w:t>
      </w:r>
      <w:r w:rsidRPr="0050685D">
        <w:rPr>
          <w:i/>
          <w:iCs/>
        </w:rPr>
        <w:t>dlouhodobé spolupráci v</w:t>
      </w:r>
      <w:r w:rsidR="00546698">
        <w:rPr>
          <w:i/>
          <w:iCs/>
        </w:rPr>
        <w:t> </w:t>
      </w:r>
      <w:r w:rsidRPr="0050685D">
        <w:rPr>
          <w:i/>
          <w:iCs/>
        </w:rPr>
        <w:t xml:space="preserve">oblasti rozvoje vozidel na zemní plyn pro období do roku 2025 </w:t>
      </w:r>
      <w:r w:rsidRPr="0050685D">
        <w:t>(dále jen MoU), čímž poskytla sektoru velmi důležitou stabilitu.</w:t>
      </w:r>
    </w:p>
    <w:p w14:paraId="2EC9F13B" w14:textId="77777777" w:rsidR="001B4719" w:rsidRDefault="001B4719" w:rsidP="001B4719">
      <w:pPr>
        <w:jc w:val="both"/>
      </w:pPr>
      <w:r w:rsidRPr="0050685D">
        <w:t>MoU je pozitivním impulsem pro subjekty soukromého a</w:t>
      </w:r>
      <w:r w:rsidR="00546698">
        <w:t> </w:t>
      </w:r>
      <w:r w:rsidRPr="0050685D">
        <w:t>veřejného sektoru, které zařadily CNG do svých dlouhodobých investičních strategií. Jde především o</w:t>
      </w:r>
      <w:r w:rsidR="00546698">
        <w:t> </w:t>
      </w:r>
      <w:r w:rsidRPr="0050685D">
        <w:t>investice do budování sítě plnicích stanic a</w:t>
      </w:r>
      <w:r w:rsidR="00546698">
        <w:t> </w:t>
      </w:r>
      <w:r w:rsidRPr="0050685D">
        <w:t>pořízení vozidel na CNG. Je v</w:t>
      </w:r>
      <w:r w:rsidR="00546698">
        <w:t> </w:t>
      </w:r>
      <w:r w:rsidRPr="0050685D">
        <w:t>obecném zájmu provozovatelů CNG aut a</w:t>
      </w:r>
      <w:r w:rsidR="00546698">
        <w:t> </w:t>
      </w:r>
      <w:r w:rsidRPr="0050685D">
        <w:t>jejich výrobců zachovat a</w:t>
      </w:r>
      <w:r w:rsidR="00546698">
        <w:t> </w:t>
      </w:r>
      <w:r w:rsidRPr="0050685D">
        <w:t>dodržovat MoU pro další rozvoj CNG a</w:t>
      </w:r>
      <w:r w:rsidR="00546698">
        <w:t> </w:t>
      </w:r>
      <w:r>
        <w:t>biometan</w:t>
      </w:r>
      <w:r w:rsidRPr="0050685D">
        <w:t>u v</w:t>
      </w:r>
      <w:r w:rsidR="00546698">
        <w:t> </w:t>
      </w:r>
      <w:r w:rsidRPr="0050685D">
        <w:t>dopravě v</w:t>
      </w:r>
      <w:r w:rsidR="00546698">
        <w:t> </w:t>
      </w:r>
      <w:r w:rsidRPr="0050685D">
        <w:t>ČR včetně zachování existujících daňových úlev po celé období</w:t>
      </w:r>
      <w:r>
        <w:t>, zejména uvedené sazby spotřební daně</w:t>
      </w:r>
      <w:r w:rsidRPr="0050685D">
        <w:t>.</w:t>
      </w:r>
    </w:p>
    <w:p w14:paraId="1438289F" w14:textId="77777777" w:rsidR="001B4719" w:rsidRPr="0050685D" w:rsidRDefault="001B4719" w:rsidP="001B4719">
      <w:r w:rsidRPr="005F18C6">
        <w:rPr>
          <w:b/>
          <w:bCs/>
          <w:szCs w:val="20"/>
        </w:rPr>
        <w:t xml:space="preserve">Vývoj </w:t>
      </w:r>
      <w:r>
        <w:rPr>
          <w:b/>
          <w:bCs/>
          <w:szCs w:val="20"/>
        </w:rPr>
        <w:t xml:space="preserve">sazby </w:t>
      </w:r>
      <w:r w:rsidRPr="005F18C6">
        <w:rPr>
          <w:b/>
          <w:bCs/>
          <w:szCs w:val="20"/>
        </w:rPr>
        <w:t>spotřební daně na CNG do roku 2025</w:t>
      </w:r>
      <w:r w:rsidRPr="00D456D7">
        <w:rPr>
          <w:b/>
          <w:bCs/>
          <w:sz w:val="20"/>
          <w:szCs w:val="20"/>
        </w:rPr>
        <w:br/>
      </w:r>
      <w:r w:rsidRPr="0050685D">
        <w:rPr>
          <w:bCs/>
        </w:rPr>
        <w:t>(Zákon č. 261/2007 Sb., o</w:t>
      </w:r>
      <w:r w:rsidR="00546698">
        <w:rPr>
          <w:bCs/>
        </w:rPr>
        <w:t> </w:t>
      </w:r>
      <w:r w:rsidRPr="0050685D">
        <w:rPr>
          <w:bCs/>
        </w:rPr>
        <w:t>stabilizaci veřejných rozpočtů)2019:</w:t>
      </w:r>
      <w:r w:rsidRPr="0050685D">
        <w:rPr>
          <w:bCs/>
        </w:rPr>
        <w:tab/>
      </w:r>
      <w:r w:rsidRPr="0050685D">
        <w:rPr>
          <w:bCs/>
        </w:rPr>
        <w:tab/>
        <w:t xml:space="preserve">2000,- Kč/t </w:t>
      </w:r>
      <w:r w:rsidRPr="0050685D">
        <w:t>= 1,40 Kč/m</w:t>
      </w:r>
      <w:r w:rsidRPr="00F57D7E">
        <w:rPr>
          <w:vertAlign w:val="superscript"/>
        </w:rPr>
        <w:t>3</w:t>
      </w:r>
      <w:r w:rsidRPr="0050685D">
        <w:t xml:space="preserve"> = 136,80 Kč/MWh</w:t>
      </w:r>
    </w:p>
    <w:p w14:paraId="497B1A7A" w14:textId="77777777" w:rsidR="001B4719" w:rsidRPr="0050685D" w:rsidRDefault="001B4719" w:rsidP="001B4719">
      <w:pPr>
        <w:jc w:val="both"/>
      </w:pPr>
      <w:r w:rsidRPr="0050685D">
        <w:t>2020:</w:t>
      </w:r>
      <w:r w:rsidRPr="0050685D">
        <w:tab/>
      </w:r>
      <w:r w:rsidRPr="0050685D">
        <w:tab/>
        <w:t>4000,- Kč/t = 2,80 Kč/m</w:t>
      </w:r>
      <w:r w:rsidRPr="00CF2D43">
        <w:rPr>
          <w:vertAlign w:val="superscript"/>
        </w:rPr>
        <w:t>3</w:t>
      </w:r>
      <w:r w:rsidRPr="0050685D">
        <w:t xml:space="preserve"> = 264,80 Kč/MWh </w:t>
      </w:r>
    </w:p>
    <w:p w14:paraId="12B39570" w14:textId="77777777" w:rsidR="001B4719" w:rsidRPr="0050685D" w:rsidRDefault="001B4719" w:rsidP="001B4719">
      <w:pPr>
        <w:jc w:val="both"/>
      </w:pPr>
      <w:r w:rsidRPr="0050685D">
        <w:t>2021 až 2025:</w:t>
      </w:r>
      <w:r w:rsidRPr="0050685D">
        <w:tab/>
        <w:t>4380,- Kč/t = 3,00 Kč/m</w:t>
      </w:r>
      <w:r w:rsidRPr="00CF2D43">
        <w:rPr>
          <w:vertAlign w:val="superscript"/>
        </w:rPr>
        <w:t>3</w:t>
      </w:r>
      <w:r w:rsidRPr="0050685D">
        <w:t xml:space="preserve"> = 290,00 Kč/MWh (MoU) </w:t>
      </w:r>
    </w:p>
    <w:p w14:paraId="0E78985F" w14:textId="77777777" w:rsidR="001B4719" w:rsidRPr="005F18C6" w:rsidRDefault="001B4719" w:rsidP="001B4719">
      <w:pPr>
        <w:jc w:val="both"/>
      </w:pPr>
      <w:r w:rsidRPr="005F18C6">
        <w:t>V rámci Národního programu životní prostředí (NPŽP), (např. výzva č. 21/2017) existuje rovněž podpora čisté mobilitě, ze které mohou územní samosprávné celky (obce a</w:t>
      </w:r>
      <w:r w:rsidR="00546698">
        <w:t> </w:t>
      </w:r>
      <w:r w:rsidRPr="005F18C6">
        <w:t>kraje), příspěvkové organizace územních samosprávných celků a</w:t>
      </w:r>
      <w:r w:rsidR="00546698">
        <w:t> </w:t>
      </w:r>
      <w:r w:rsidRPr="005F18C6">
        <w:t>společnosti vlastněné z</w:t>
      </w:r>
      <w:r w:rsidR="00546698">
        <w:t> </w:t>
      </w:r>
      <w:r w:rsidRPr="005F18C6">
        <w:t>více než 50 % obcí či krajem využít podporu na nákup CNG vozidel.</w:t>
      </w:r>
    </w:p>
    <w:p w14:paraId="437A2E35" w14:textId="77777777" w:rsidR="001B4719" w:rsidRPr="0050685D" w:rsidRDefault="001B4719" w:rsidP="001B4719">
      <w:pPr>
        <w:jc w:val="both"/>
      </w:pPr>
      <w:r w:rsidRPr="0050685D">
        <w:t>Na základě dosavadního rozvoje infrastruktury plnicích stanic CNG a</w:t>
      </w:r>
      <w:r w:rsidR="00546698">
        <w:t> </w:t>
      </w:r>
      <w:r w:rsidRPr="0050685D">
        <w:t>vývoje vozového parku aut s</w:t>
      </w:r>
      <w:r w:rsidR="00546698">
        <w:t> </w:t>
      </w:r>
      <w:r w:rsidRPr="0050685D">
        <w:t>pohonem na CNG v</w:t>
      </w:r>
      <w:r w:rsidR="00546698">
        <w:t> </w:t>
      </w:r>
      <w:r w:rsidRPr="0050685D">
        <w:t>ČR, především ve firemních flotilách a</w:t>
      </w:r>
      <w:r w:rsidR="00546698">
        <w:t> </w:t>
      </w:r>
      <w:r w:rsidRPr="0050685D">
        <w:t>u</w:t>
      </w:r>
      <w:r>
        <w:t> </w:t>
      </w:r>
      <w:r w:rsidRPr="0050685D">
        <w:t>dopravců městské a</w:t>
      </w:r>
      <w:r w:rsidR="00546698">
        <w:t> </w:t>
      </w:r>
      <w:r w:rsidRPr="0050685D">
        <w:t>příměstské autobusové dopravy, lze i</w:t>
      </w:r>
      <w:r w:rsidR="00546698">
        <w:t> </w:t>
      </w:r>
      <w:r w:rsidRPr="0050685D">
        <w:t>nadále předpokládat růst počtu těchto vozidel. Nutnou podmínkou je však záruka stabilní a</w:t>
      </w:r>
      <w:r w:rsidR="00546698">
        <w:t> </w:t>
      </w:r>
      <w:r w:rsidRPr="0050685D">
        <w:t>dostatečné nabídky CNG a</w:t>
      </w:r>
      <w:r w:rsidR="00546698">
        <w:t> </w:t>
      </w:r>
      <w:r w:rsidRPr="0050685D">
        <w:t xml:space="preserve">LNG vozů na českém trhu. </w:t>
      </w:r>
    </w:p>
    <w:p w14:paraId="414B7BD9" w14:textId="77777777" w:rsidR="001B4719" w:rsidRPr="0050685D" w:rsidRDefault="001B4719" w:rsidP="001B4719">
      <w:pPr>
        <w:jc w:val="both"/>
        <w:rPr>
          <w:b/>
        </w:rPr>
      </w:pPr>
      <w:r w:rsidRPr="0050685D">
        <w:rPr>
          <w:b/>
        </w:rPr>
        <w:t>Aktuální stav infrastruktury plnicích stanic CNG a</w:t>
      </w:r>
      <w:r w:rsidR="00546698">
        <w:rPr>
          <w:b/>
        </w:rPr>
        <w:t> </w:t>
      </w:r>
      <w:r w:rsidRPr="0050685D">
        <w:rPr>
          <w:b/>
        </w:rPr>
        <w:t>LNG v</w:t>
      </w:r>
      <w:r w:rsidR="00546698">
        <w:rPr>
          <w:b/>
        </w:rPr>
        <w:t> </w:t>
      </w:r>
      <w:r w:rsidRPr="0050685D">
        <w:rPr>
          <w:b/>
        </w:rPr>
        <w:t>České republice</w:t>
      </w:r>
    </w:p>
    <w:p w14:paraId="07DB1072" w14:textId="77777777" w:rsidR="001B4719" w:rsidRDefault="001B4719" w:rsidP="00EF3C02">
      <w:pPr>
        <w:jc w:val="both"/>
      </w:pPr>
      <w:r w:rsidRPr="0050685D">
        <w:t>V síti veřejných plnicích stanic CNG je 190 výdejních míst (k červnu 2019). Tuto skutečnost hodnotí Evropská komise velmi pozitivně (v počtu provozovaných veřejných plnicích stanic CNG je ČR na třetím místě za Itálií a</w:t>
      </w:r>
      <w:r w:rsidR="00546698">
        <w:t> </w:t>
      </w:r>
      <w:r w:rsidRPr="0050685D">
        <w:t>Německem). Průměrný meziroční růst je 25 % (nových realizací: 34</w:t>
      </w:r>
      <w:r>
        <w:t xml:space="preserve"> v</w:t>
      </w:r>
      <w:r w:rsidR="00546698">
        <w:t> </w:t>
      </w:r>
      <w:r>
        <w:t xml:space="preserve">roce </w:t>
      </w:r>
      <w:r w:rsidRPr="0050685D">
        <w:t>2016, 27</w:t>
      </w:r>
      <w:r>
        <w:t xml:space="preserve"> v</w:t>
      </w:r>
      <w:r w:rsidR="00546698">
        <w:t> </w:t>
      </w:r>
      <w:r>
        <w:t xml:space="preserve">roce </w:t>
      </w:r>
      <w:r w:rsidRPr="0050685D">
        <w:t>2017, 16</w:t>
      </w:r>
      <w:r>
        <w:t xml:space="preserve"> v</w:t>
      </w:r>
      <w:r w:rsidR="00546698">
        <w:t> </w:t>
      </w:r>
      <w:r>
        <w:t xml:space="preserve">roce </w:t>
      </w:r>
      <w:r w:rsidRPr="0050685D">
        <w:t>2018). Infrastrukturu CNG stanic lze považovat za uspokojující. V</w:t>
      </w:r>
      <w:r w:rsidR="00546698">
        <w:t> </w:t>
      </w:r>
      <w:r w:rsidRPr="0050685D">
        <w:t>ČR se dále využíváno více než 50 neveřejných (firemních) plnicích stanic CNG. V</w:t>
      </w:r>
      <w:r w:rsidR="00546698">
        <w:t> </w:t>
      </w:r>
      <w:r w:rsidRPr="0050685D">
        <w:t>současnosti je v</w:t>
      </w:r>
      <w:r w:rsidR="00546698">
        <w:t> </w:t>
      </w:r>
      <w:r w:rsidRPr="0050685D">
        <w:t>provozu 1 veřejná plnicí stanice LNG a</w:t>
      </w:r>
      <w:r w:rsidR="00546698">
        <w:t> </w:t>
      </w:r>
      <w:r w:rsidRPr="0050685D">
        <w:t>několik testovacích mobilních plnicích stanic LNG u</w:t>
      </w:r>
      <w:r w:rsidR="00546698">
        <w:t> </w:t>
      </w:r>
      <w:r w:rsidRPr="0050685D">
        <w:t>firem, které o</w:t>
      </w:r>
      <w:r w:rsidR="00546698">
        <w:t> </w:t>
      </w:r>
      <w:r w:rsidRPr="0050685D">
        <w:t>přechodu na LNG uvažují. Současně probíhá projektová příprava s</w:t>
      </w:r>
      <w:r w:rsidR="00546698">
        <w:t> </w:t>
      </w:r>
      <w:r w:rsidRPr="0050685D">
        <w:t>následnou realizací 13</w:t>
      </w:r>
      <w:r w:rsidR="00844941">
        <w:t> </w:t>
      </w:r>
      <w:r w:rsidRPr="0050685D">
        <w:t>nových veřejných plnicích stanic LNG</w:t>
      </w:r>
      <w:r>
        <w:t>.</w:t>
      </w:r>
    </w:p>
    <w:p w14:paraId="7A12AC5E" w14:textId="77777777" w:rsidR="00EF3C02" w:rsidRPr="00EF3C02" w:rsidRDefault="00EF3C02" w:rsidP="00EF3C02"/>
    <w:p w14:paraId="396B92E0" w14:textId="77777777" w:rsidR="00EF3C02" w:rsidRDefault="00EF3C02" w:rsidP="00EF3C02">
      <w:pPr>
        <w:pStyle w:val="Titulek"/>
        <w:keepNext/>
        <w:jc w:val="both"/>
      </w:pPr>
      <w:bookmarkStart w:id="267" w:name="_Toc25230412"/>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5</w:t>
      </w:r>
      <w:r w:rsidR="001614BC">
        <w:rPr>
          <w:noProof/>
        </w:rPr>
        <w:fldChar w:fldCharType="end"/>
      </w:r>
      <w:r w:rsidRPr="00EF3C02">
        <w:t xml:space="preserve"> </w:t>
      </w:r>
      <w:r w:rsidRPr="006310C0">
        <w:t>Přehled veřejných plnicích stanic CNG a</w:t>
      </w:r>
      <w:r w:rsidR="00546698">
        <w:t> </w:t>
      </w:r>
      <w:r w:rsidRPr="006310C0">
        <w:t>LNG v</w:t>
      </w:r>
      <w:r w:rsidR="00546698">
        <w:t> </w:t>
      </w:r>
      <w:r w:rsidRPr="006310C0">
        <w:t>ČR</w:t>
      </w:r>
      <w:bookmarkEnd w:id="267"/>
    </w:p>
    <w:p w14:paraId="6EEE779C" w14:textId="77777777" w:rsidR="001B4719" w:rsidRPr="0050685D" w:rsidRDefault="001B4719" w:rsidP="001B4719">
      <w:pPr>
        <w:jc w:val="both"/>
        <w:rPr>
          <w:rFonts w:asciiTheme="majorHAnsi" w:hAnsiTheme="majorHAnsi" w:cstheme="minorHAnsi"/>
        </w:rPr>
      </w:pPr>
      <w:r w:rsidRPr="0050685D">
        <w:rPr>
          <w:rFonts w:asciiTheme="majorHAnsi" w:hAnsiTheme="majorHAnsi" w:cstheme="minorHAnsi"/>
          <w:noProof/>
        </w:rPr>
        <w:drawing>
          <wp:inline distT="0" distB="0" distL="0" distR="0" wp14:anchorId="4FE0B94A" wp14:editId="7B313335">
            <wp:extent cx="5364000" cy="3629806"/>
            <wp:effectExtent l="0" t="0" r="8255" b="8890"/>
            <wp:docPr id="41" name="Obrázek 2" descr="mapa_cng_2019_06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cng_2019_06_WEB.jpg"/>
                    <pic:cNvPicPr/>
                  </pic:nvPicPr>
                  <pic:blipFill>
                    <a:blip r:embed="rId20" cstate="print"/>
                    <a:stretch>
                      <a:fillRect/>
                    </a:stretch>
                  </pic:blipFill>
                  <pic:spPr>
                    <a:xfrm>
                      <a:off x="0" y="0"/>
                      <a:ext cx="5364000" cy="3629806"/>
                    </a:xfrm>
                    <a:prstGeom prst="rect">
                      <a:avLst/>
                    </a:prstGeom>
                  </pic:spPr>
                </pic:pic>
              </a:graphicData>
            </a:graphic>
          </wp:inline>
        </w:drawing>
      </w:r>
    </w:p>
    <w:p w14:paraId="4D6F8C83" w14:textId="77777777" w:rsidR="001B4719" w:rsidRPr="0050685D" w:rsidRDefault="001B4719" w:rsidP="001B4719">
      <w:pPr>
        <w:jc w:val="both"/>
      </w:pPr>
      <w:r w:rsidRPr="0050685D">
        <w:t>Zdroj: ČPS (červen 2019)</w:t>
      </w:r>
    </w:p>
    <w:p w14:paraId="4B6E6CB5" w14:textId="77777777" w:rsidR="00EF3C02" w:rsidRPr="00EF3C02" w:rsidRDefault="001B4719" w:rsidP="00EF3C02">
      <w:pPr>
        <w:jc w:val="both"/>
        <w:rPr>
          <w:color w:val="222222"/>
        </w:rPr>
      </w:pPr>
      <w:r w:rsidRPr="0050685D">
        <w:t>Spotřeba CNG pro silniční vozidla v</w:t>
      </w:r>
      <w:r w:rsidR="00546698">
        <w:t> </w:t>
      </w:r>
      <w:r w:rsidRPr="0050685D">
        <w:t>České republice se každoročně zvyšuje a</w:t>
      </w:r>
      <w:r w:rsidR="00546698">
        <w:t> </w:t>
      </w:r>
      <w:r w:rsidRPr="0050685D">
        <w:t>za poslední tři roky se téměř ztrojnásobila na necelých 76 mil. m</w:t>
      </w:r>
      <w:r w:rsidRPr="0050685D">
        <w:rPr>
          <w:vertAlign w:val="superscript"/>
        </w:rPr>
        <w:t>3</w:t>
      </w:r>
      <w:r w:rsidRPr="0050685D">
        <w:t>, přestože u</w:t>
      </w:r>
      <w:r w:rsidR="00546698">
        <w:t> </w:t>
      </w:r>
      <w:r w:rsidRPr="0050685D">
        <w:t>hodnot meziročního růstu je patrný pokles. V</w:t>
      </w:r>
      <w:r w:rsidR="00546698">
        <w:t> </w:t>
      </w:r>
      <w:r w:rsidRPr="0050685D">
        <w:t>roce 2018 byl zaznamenán nárůst prodeje CN</w:t>
      </w:r>
      <w:r>
        <w:t xml:space="preserve">G 12,2 % oproti předešlému roku </w:t>
      </w:r>
      <w:r w:rsidRPr="0050685D">
        <w:t>(13,9</w:t>
      </w:r>
      <w:r>
        <w:t> </w:t>
      </w:r>
      <w:r w:rsidRPr="0050685D">
        <w:t>%), přičemž v</w:t>
      </w:r>
      <w:r w:rsidR="00546698">
        <w:t> </w:t>
      </w:r>
      <w:r w:rsidRPr="0050685D">
        <w:t>roce 2016 byl nárůst 36,1 % a</w:t>
      </w:r>
      <w:r w:rsidR="00546698">
        <w:t> </w:t>
      </w:r>
      <w:r w:rsidRPr="0050685D">
        <w:t>v</w:t>
      </w:r>
      <w:r>
        <w:t> </w:t>
      </w:r>
      <w:r w:rsidRPr="0050685D">
        <w:t>roce 2015 dokonce 45,7 %. K</w:t>
      </w:r>
      <w:r w:rsidR="00546698">
        <w:t> </w:t>
      </w:r>
      <w:r w:rsidRPr="0050685D">
        <w:t>růstu spotřeby dochází jak zvyšováním počtu vozidel (především CNG autobusy se na prodeji podílí více než jednou třetinou), tak i</w:t>
      </w:r>
      <w:r w:rsidR="00546698">
        <w:t> </w:t>
      </w:r>
      <w:r w:rsidRPr="0050685D">
        <w:t>stále větší dostupností veřejných plnicích stanic.</w:t>
      </w:r>
      <w:r w:rsidRPr="0050685D">
        <w:rPr>
          <w:color w:val="222222"/>
        </w:rPr>
        <w:t xml:space="preserve"> </w:t>
      </w:r>
    </w:p>
    <w:p w14:paraId="664D43E7" w14:textId="77777777" w:rsidR="00EF3C02" w:rsidRDefault="00EF3C02" w:rsidP="00EF3C02">
      <w:pPr>
        <w:pStyle w:val="Titulek"/>
        <w:keepNext/>
        <w:jc w:val="both"/>
      </w:pPr>
      <w:bookmarkStart w:id="268" w:name="_Toc25230413"/>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6</w:t>
      </w:r>
      <w:r w:rsidR="001614BC">
        <w:rPr>
          <w:noProof/>
        </w:rPr>
        <w:fldChar w:fldCharType="end"/>
      </w:r>
      <w:r w:rsidRPr="00EF3C02">
        <w:t xml:space="preserve"> </w:t>
      </w:r>
      <w:r>
        <w:t>Graf v</w:t>
      </w:r>
      <w:r w:rsidRPr="00D10B95">
        <w:t>ývoj</w:t>
      </w:r>
      <w:r>
        <w:t>e</w:t>
      </w:r>
      <w:r w:rsidRPr="00D10B95">
        <w:t xml:space="preserve"> prodeje CNG v</w:t>
      </w:r>
      <w:r w:rsidR="00546698">
        <w:t> </w:t>
      </w:r>
      <w:r w:rsidRPr="00D10B95">
        <w:t>ČR (v mil. m</w:t>
      </w:r>
      <w:r w:rsidRPr="00CF2D43">
        <w:rPr>
          <w:vertAlign w:val="superscript"/>
        </w:rPr>
        <w:t>3</w:t>
      </w:r>
      <w:r w:rsidRPr="00D10B95">
        <w:t>)</w:t>
      </w:r>
      <w:bookmarkEnd w:id="268"/>
    </w:p>
    <w:p w14:paraId="3D32E131" w14:textId="77777777" w:rsidR="001B4719" w:rsidRDefault="001B4719" w:rsidP="001B4719">
      <w:pPr>
        <w:autoSpaceDE w:val="0"/>
        <w:autoSpaceDN w:val="0"/>
        <w:adjustRightInd w:val="0"/>
        <w:spacing w:after="0"/>
        <w:jc w:val="both"/>
      </w:pPr>
      <w:r w:rsidRPr="0050685D">
        <w:rPr>
          <w:rFonts w:asciiTheme="majorHAnsi" w:hAnsiTheme="majorHAnsi" w:cstheme="minorHAnsi"/>
          <w:noProof/>
          <w:color w:val="222222"/>
        </w:rPr>
        <w:drawing>
          <wp:inline distT="0" distB="0" distL="0" distR="0" wp14:anchorId="2986649A" wp14:editId="23CE3499">
            <wp:extent cx="5051713" cy="3117272"/>
            <wp:effectExtent l="19050" t="0" r="0" b="0"/>
            <wp:docPr id="50" name="Obrázek 24" descr="grafspotreby_2018_A5_CZ_bez-titu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spotreby_2018_A5_CZ_bez-titulu.jpg"/>
                    <pic:cNvPicPr/>
                  </pic:nvPicPr>
                  <pic:blipFill>
                    <a:blip r:embed="rId21" cstate="print"/>
                    <a:stretch>
                      <a:fillRect/>
                    </a:stretch>
                  </pic:blipFill>
                  <pic:spPr>
                    <a:xfrm>
                      <a:off x="0" y="0"/>
                      <a:ext cx="5049238" cy="3115745"/>
                    </a:xfrm>
                    <a:prstGeom prst="rect">
                      <a:avLst/>
                    </a:prstGeom>
                  </pic:spPr>
                </pic:pic>
              </a:graphicData>
            </a:graphic>
          </wp:inline>
        </w:drawing>
      </w:r>
    </w:p>
    <w:p w14:paraId="63F5DA55" w14:textId="77777777" w:rsidR="001B4719" w:rsidRDefault="001B4719" w:rsidP="001B4719">
      <w:pPr>
        <w:jc w:val="both"/>
      </w:pPr>
      <w:r w:rsidRPr="00D10B95">
        <w:t>Zdroj: ČPS</w:t>
      </w:r>
    </w:p>
    <w:p w14:paraId="69C5DE4C" w14:textId="77777777" w:rsidR="001B4719" w:rsidRPr="00D10B95" w:rsidRDefault="001B4719" w:rsidP="001B4719">
      <w:pPr>
        <w:jc w:val="both"/>
        <w:rPr>
          <w:b/>
          <w:color w:val="222222"/>
        </w:rPr>
      </w:pPr>
      <w:r w:rsidRPr="00D10B95">
        <w:rPr>
          <w:b/>
        </w:rPr>
        <w:lastRenderedPageBreak/>
        <w:t>Aktuální stav trhu vozidel na CNG v</w:t>
      </w:r>
      <w:r w:rsidR="00546698">
        <w:rPr>
          <w:b/>
        </w:rPr>
        <w:t> </w:t>
      </w:r>
      <w:r w:rsidRPr="00D10B95">
        <w:rPr>
          <w:b/>
        </w:rPr>
        <w:t>ČR</w:t>
      </w:r>
    </w:p>
    <w:p w14:paraId="66EDE745" w14:textId="46C5B0EE" w:rsidR="001B4719" w:rsidRDefault="001B4719" w:rsidP="001B4719">
      <w:pPr>
        <w:jc w:val="both"/>
      </w:pPr>
      <w:r w:rsidRPr="0050685D">
        <w:t>Dle statistik Českého plynárenského svazu bylo v</w:t>
      </w:r>
      <w:r w:rsidR="00546698">
        <w:t> </w:t>
      </w:r>
      <w:r w:rsidRPr="0050685D">
        <w:t>České republice provozováno ke konci roku 2018 více než 22 tis. vozidel na CNG. Průměrný meziroční růst vozového parku se dlouhodobě drží na 32 % a</w:t>
      </w:r>
      <w:r w:rsidR="00546698">
        <w:t> </w:t>
      </w:r>
      <w:r w:rsidRPr="0050685D">
        <w:t>za posledních 5 let se téměř pětinásobně rozrostl a</w:t>
      </w:r>
      <w:r w:rsidR="00546698">
        <w:t> </w:t>
      </w:r>
      <w:r w:rsidRPr="0050685D">
        <w:t>v</w:t>
      </w:r>
      <w:r>
        <w:t> </w:t>
      </w:r>
      <w:r w:rsidRPr="0050685D">
        <w:t>kategorii autobusů je podíl CNG vozů už cca 6 % vozového parku. V</w:t>
      </w:r>
      <w:r w:rsidR="00546698">
        <w:t> </w:t>
      </w:r>
      <w:r w:rsidRPr="0050685D">
        <w:t>městské a</w:t>
      </w:r>
      <w:r w:rsidR="00546698">
        <w:t> </w:t>
      </w:r>
      <w:r w:rsidRPr="0050685D">
        <w:t>příměstské hromadné dopravě přibylo za</w:t>
      </w:r>
      <w:r>
        <w:t> </w:t>
      </w:r>
      <w:r w:rsidRPr="0050685D">
        <w:t>poslední rok více než 100 CNG autobusů, celkově jich v</w:t>
      </w:r>
      <w:r w:rsidR="00546698">
        <w:t> </w:t>
      </w:r>
      <w:r w:rsidRPr="0050685D">
        <w:t>hromadné dopravě jezdí nejméně 1 284 (duben 2019). Prodej CNG autobusů odpovídá reálné situaci s</w:t>
      </w:r>
      <w:r w:rsidR="00546698">
        <w:t> </w:t>
      </w:r>
      <w:r w:rsidRPr="0050685D">
        <w:t>čerpáním dotací na jejich nákup. Jednalo se především o</w:t>
      </w:r>
      <w:r w:rsidR="00546698">
        <w:t> </w:t>
      </w:r>
      <w:r w:rsidRPr="0050685D">
        <w:t xml:space="preserve">výzvy vyhlášených programů podpory (např.: 20. výzva IROP - MMR), které </w:t>
      </w:r>
      <w:r w:rsidR="009D5EDE">
        <w:t>byly ukončeny</w:t>
      </w:r>
      <w:r w:rsidRPr="0050685D">
        <w:t xml:space="preserve"> v</w:t>
      </w:r>
      <w:r w:rsidR="00546698">
        <w:t> </w:t>
      </w:r>
      <w:r w:rsidRPr="0050685D">
        <w:t>roce 2017.</w:t>
      </w:r>
      <w:r w:rsidR="009D5EDE">
        <w:t xml:space="preserve"> Také v roce 2019 byla vyhlášena vázva č. 89 na pořízení nízkoemisních a bezemisních vozidel.</w:t>
      </w:r>
    </w:p>
    <w:p w14:paraId="4FCE1DDA" w14:textId="77777777" w:rsidR="001B4719" w:rsidRPr="0050685D" w:rsidRDefault="001B4719" w:rsidP="001B4719">
      <w:pPr>
        <w:jc w:val="both"/>
      </w:pPr>
      <w:r w:rsidRPr="0050685D">
        <w:t>V současnosti dopravcům dobíhají dodávky nových CNG autobusů pořízených právě prostřednictvím těchto programů a</w:t>
      </w:r>
      <w:r w:rsidR="00546698">
        <w:t> </w:t>
      </w:r>
      <w:r w:rsidRPr="0050685D">
        <w:t>výzev (např. DP města Brna dokončil třetí etapu nákupu CNG autobusů).</w:t>
      </w:r>
      <w:r>
        <w:t xml:space="preserve"> </w:t>
      </w:r>
      <w:r w:rsidRPr="0050685D">
        <w:t>V</w:t>
      </w:r>
      <w:r w:rsidR="00546698">
        <w:t> </w:t>
      </w:r>
      <w:r w:rsidRPr="0050685D">
        <w:t>roce 2018 došlo na českém trhu k</w:t>
      </w:r>
      <w:r w:rsidR="00546698">
        <w:t> </w:t>
      </w:r>
      <w:r w:rsidRPr="0050685D">
        <w:t>citelnému poklesu nabídky požadovaných modelů osobních automobilů a</w:t>
      </w:r>
      <w:r w:rsidR="00546698">
        <w:t> </w:t>
      </w:r>
      <w:r w:rsidRPr="0050685D">
        <w:t>LUV a</w:t>
      </w:r>
      <w:r w:rsidR="00546698">
        <w:t> </w:t>
      </w:r>
      <w:r w:rsidRPr="0050685D">
        <w:t>tím i</w:t>
      </w:r>
      <w:r w:rsidR="00546698">
        <w:t> </w:t>
      </w:r>
      <w:r w:rsidRPr="0050685D">
        <w:t>prodejů CNG aut v</w:t>
      </w:r>
      <w:r w:rsidR="00546698">
        <w:t> </w:t>
      </w:r>
      <w:r w:rsidRPr="0050685D">
        <w:t>ČR a</w:t>
      </w:r>
      <w:r w:rsidR="00546698">
        <w:t> </w:t>
      </w:r>
      <w:r w:rsidRPr="0050685D">
        <w:t>tento stav pokračoval i</w:t>
      </w:r>
      <w:r w:rsidR="00546698">
        <w:t> </w:t>
      </w:r>
      <w:r w:rsidRPr="0050685D">
        <w:t>v</w:t>
      </w:r>
      <w:r>
        <w:t> </w:t>
      </w:r>
      <w:r w:rsidRPr="0050685D">
        <w:t>prvním čtvrtletí 2019. Předpokládáme, že přetrvávající poptávka po CNG autech bude v</w:t>
      </w:r>
      <w:r w:rsidR="00546698">
        <w:t> </w:t>
      </w:r>
      <w:r w:rsidRPr="0050685D">
        <w:t>následujících letech motivovat automobilový průmysl k</w:t>
      </w:r>
      <w:r w:rsidR="00546698">
        <w:t> </w:t>
      </w:r>
      <w:r w:rsidRPr="0050685D">
        <w:t>výraznému zlepšení nabídky, a</w:t>
      </w:r>
      <w:r w:rsidR="00546698">
        <w:t> </w:t>
      </w:r>
      <w:r w:rsidRPr="0050685D">
        <w:t>to ve všech kategoriích</w:t>
      </w:r>
      <w:r w:rsidRPr="0050685D">
        <w:rPr>
          <w:rStyle w:val="Znakapoznpodarou"/>
          <w:rFonts w:asciiTheme="majorHAnsi" w:hAnsiTheme="majorHAnsi" w:cstheme="minorHAnsi"/>
        </w:rPr>
        <w:footnoteReference w:id="10"/>
      </w:r>
      <w:r w:rsidRPr="0050685D">
        <w:t>. Vzrůstající zájem o</w:t>
      </w:r>
      <w:r w:rsidR="00546698">
        <w:t> </w:t>
      </w:r>
      <w:r w:rsidRPr="0050685D">
        <w:t>alternativu CNG/LNG je nově i</w:t>
      </w:r>
      <w:r w:rsidR="00546698">
        <w:t> </w:t>
      </w:r>
      <w:r w:rsidRPr="0050685D">
        <w:t>u</w:t>
      </w:r>
      <w:r>
        <w:t> </w:t>
      </w:r>
      <w:r w:rsidRPr="0050685D">
        <w:t>nákladních dopravců ve vnitrostátní dopravě v</w:t>
      </w:r>
      <w:r w:rsidR="00546698">
        <w:t> </w:t>
      </w:r>
      <w:r w:rsidRPr="0050685D">
        <w:t>ČR s</w:t>
      </w:r>
      <w:r w:rsidR="00546698">
        <w:t> </w:t>
      </w:r>
      <w:r w:rsidRPr="0050685D">
        <w:t>plným dopadem na emise v</w:t>
      </w:r>
      <w:r w:rsidR="00546698">
        <w:t> </w:t>
      </w:r>
      <w:r w:rsidRPr="0050685D">
        <w:t>naší zemi. Lokální zájem brzdí absence podpory nákupu vozidla a</w:t>
      </w:r>
      <w:r w:rsidR="00546698">
        <w:t> </w:t>
      </w:r>
      <w:r w:rsidRPr="0050685D">
        <w:t>absence redukce dálničních poplatků, které jsou velmi sledovaným benefitem německých dopravních firem. Existující snížená spotřební daň nestačí v</w:t>
      </w:r>
      <w:r w:rsidR="00546698">
        <w:t> </w:t>
      </w:r>
      <w:r w:rsidRPr="0050685D">
        <w:t>ekonomické bilanci kompenzovat zvýšené pořizovací náklady.</w:t>
      </w:r>
    </w:p>
    <w:p w14:paraId="315C2198" w14:textId="77777777" w:rsidR="00EF3C02" w:rsidRPr="00EF3C02" w:rsidRDefault="001B4719" w:rsidP="00EF3C02">
      <w:pPr>
        <w:jc w:val="both"/>
      </w:pPr>
      <w:r w:rsidRPr="00D10B95">
        <w:rPr>
          <w:rFonts w:cs="Arial"/>
        </w:rPr>
        <w:t xml:space="preserve">Situaci na českém trhu upřesňuje vývoj </w:t>
      </w:r>
      <w:r w:rsidRPr="00D10B95">
        <w:rPr>
          <w:rStyle w:val="apple-style-span"/>
          <w:rFonts w:cs="Arial"/>
        </w:rPr>
        <w:t>registrací CNG vozidel v</w:t>
      </w:r>
      <w:r w:rsidR="00546698">
        <w:rPr>
          <w:rStyle w:val="apple-style-span"/>
          <w:rFonts w:cs="Arial"/>
        </w:rPr>
        <w:t> </w:t>
      </w:r>
      <w:r w:rsidRPr="00D10B95">
        <w:rPr>
          <w:rStyle w:val="apple-style-span"/>
          <w:rFonts w:cs="Arial"/>
        </w:rPr>
        <w:t>Centrálním registru vozidel (CRV) dle kategorie vozidla a</w:t>
      </w:r>
      <w:r w:rsidR="00546698">
        <w:rPr>
          <w:rStyle w:val="apple-style-span"/>
          <w:rFonts w:cs="Arial"/>
        </w:rPr>
        <w:t> </w:t>
      </w:r>
      <w:r w:rsidRPr="00D10B95">
        <w:rPr>
          <w:rStyle w:val="apple-style-span"/>
          <w:rFonts w:cs="Arial"/>
        </w:rPr>
        <w:t>roku výroby z</w:t>
      </w:r>
      <w:r w:rsidR="00546698">
        <w:rPr>
          <w:rStyle w:val="apple-style-span"/>
          <w:rFonts w:cs="Arial"/>
        </w:rPr>
        <w:t> </w:t>
      </w:r>
      <w:r w:rsidRPr="00D10B95">
        <w:rPr>
          <w:rStyle w:val="apple-style-span"/>
          <w:rFonts w:cs="Arial"/>
        </w:rPr>
        <w:t xml:space="preserve">dat Centra dopravního výzkum vyplývá. </w:t>
      </w:r>
      <w:r w:rsidRPr="00D10B95">
        <w:rPr>
          <w:rStyle w:val="apple-style-span"/>
          <w:rFonts w:cs="Arial"/>
          <w:b/>
          <w:bCs/>
        </w:rPr>
        <w:t>N</w:t>
      </w:r>
      <w:r w:rsidRPr="00D10B95">
        <w:rPr>
          <w:rStyle w:val="apple-style-span"/>
          <w:rFonts w:cs="Arial"/>
          <w:b/>
        </w:rPr>
        <w:t>ejvíce CNG vozidel bylo evidováno s</w:t>
      </w:r>
      <w:r w:rsidR="00546698">
        <w:rPr>
          <w:rStyle w:val="apple-style-span"/>
          <w:rFonts w:cs="Arial"/>
          <w:b/>
        </w:rPr>
        <w:t> </w:t>
      </w:r>
      <w:r w:rsidRPr="00D10B95">
        <w:rPr>
          <w:rStyle w:val="apple-style-span"/>
          <w:rFonts w:cs="Arial"/>
          <w:b/>
        </w:rPr>
        <w:t>rokem výroby 2015 (3 421) a</w:t>
      </w:r>
      <w:r w:rsidR="00546698">
        <w:rPr>
          <w:rStyle w:val="apple-style-span"/>
          <w:rFonts w:cs="Arial"/>
          <w:b/>
        </w:rPr>
        <w:t> </w:t>
      </w:r>
      <w:r w:rsidRPr="00D10B95">
        <w:rPr>
          <w:rStyle w:val="apple-style-span"/>
          <w:rFonts w:cs="Arial"/>
          <w:b/>
        </w:rPr>
        <w:t>to jak kategorie M</w:t>
      </w:r>
      <w:r w:rsidR="00546698">
        <w:rPr>
          <w:rStyle w:val="apple-style-span"/>
          <w:rFonts w:cs="Arial"/>
          <w:b/>
        </w:rPr>
        <w:t> </w:t>
      </w:r>
      <w:r w:rsidRPr="00D10B95">
        <w:rPr>
          <w:rStyle w:val="apple-style-span"/>
          <w:rFonts w:cs="Arial"/>
          <w:b/>
        </w:rPr>
        <w:t>(2 910), tak N</w:t>
      </w:r>
      <w:r w:rsidR="00546698">
        <w:rPr>
          <w:rStyle w:val="apple-style-span"/>
          <w:rFonts w:cs="Arial"/>
          <w:b/>
        </w:rPr>
        <w:t> </w:t>
      </w:r>
      <w:r w:rsidRPr="00D10B95">
        <w:rPr>
          <w:rStyle w:val="apple-style-span"/>
          <w:rFonts w:cs="Arial"/>
          <w:b/>
        </w:rPr>
        <w:t xml:space="preserve">(511). </w:t>
      </w:r>
      <w:r w:rsidRPr="00D10B95">
        <w:rPr>
          <w:rStyle w:val="apple-style-span"/>
          <w:rFonts w:cs="Arial"/>
        </w:rPr>
        <w:t>V</w:t>
      </w:r>
      <w:r w:rsidR="00546698">
        <w:rPr>
          <w:rStyle w:val="apple-style-span"/>
          <w:rFonts w:cs="Arial"/>
        </w:rPr>
        <w:t> </w:t>
      </w:r>
      <w:r w:rsidRPr="00D10B95">
        <w:rPr>
          <w:rStyle w:val="apple-style-span"/>
          <w:rFonts w:cs="Arial"/>
        </w:rPr>
        <w:t>roce 2018 zaznamenala CNG vozidla meziročně významný propad registrací, což je však dáno omezenou nabídkou na trhu těchto vozidel nikoliv snížením zájmu o</w:t>
      </w:r>
      <w:r w:rsidR="00546698">
        <w:rPr>
          <w:rStyle w:val="apple-style-span"/>
          <w:rFonts w:cs="Arial"/>
        </w:rPr>
        <w:t> </w:t>
      </w:r>
      <w:r w:rsidRPr="00D10B95">
        <w:rPr>
          <w:rStyle w:val="apple-style-span"/>
          <w:rFonts w:cs="Arial"/>
        </w:rPr>
        <w:t>tato vozidla na straně koncových uživatelů. Detailní informace jsou uvedeny v</w:t>
      </w:r>
      <w:r w:rsidR="00546698">
        <w:rPr>
          <w:rStyle w:val="apple-style-span"/>
          <w:rFonts w:cs="Arial"/>
        </w:rPr>
        <w:t> </w:t>
      </w:r>
      <w:r w:rsidRPr="00D10B95">
        <w:rPr>
          <w:rStyle w:val="apple-style-span"/>
          <w:rFonts w:cs="Arial"/>
        </w:rPr>
        <w:t>následujícím grafu.</w:t>
      </w:r>
    </w:p>
    <w:p w14:paraId="36817F30" w14:textId="77777777" w:rsidR="00EF3C02" w:rsidRDefault="00EF3C02" w:rsidP="00EF3C02">
      <w:pPr>
        <w:pStyle w:val="Titulek"/>
        <w:keepNext/>
        <w:jc w:val="both"/>
      </w:pPr>
      <w:bookmarkStart w:id="269" w:name="_Toc25230414"/>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7</w:t>
      </w:r>
      <w:r w:rsidR="001614BC">
        <w:rPr>
          <w:noProof/>
        </w:rPr>
        <w:fldChar w:fldCharType="end"/>
      </w:r>
      <w:r w:rsidRPr="00EF3C02">
        <w:t xml:space="preserve"> </w:t>
      </w:r>
      <w:r>
        <w:t>Graf r</w:t>
      </w:r>
      <w:r w:rsidRPr="00D10B95">
        <w:t>egistrac</w:t>
      </w:r>
      <w:r>
        <w:t>í</w:t>
      </w:r>
      <w:r w:rsidRPr="00D10B95">
        <w:t xml:space="preserve"> CNG vozidel v</w:t>
      </w:r>
      <w:r w:rsidR="00546698">
        <w:t> </w:t>
      </w:r>
      <w:r w:rsidRPr="00D10B95">
        <w:t>Centrálním registru vozidel dle roku výroby</w:t>
      </w:r>
      <w:bookmarkEnd w:id="269"/>
    </w:p>
    <w:p w14:paraId="20F92C68" w14:textId="77777777" w:rsidR="001B4719" w:rsidRPr="0050685D" w:rsidRDefault="001B4719" w:rsidP="001B4719">
      <w:pPr>
        <w:spacing w:after="0"/>
        <w:jc w:val="both"/>
        <w:rPr>
          <w:rFonts w:asciiTheme="majorHAnsi" w:hAnsiTheme="majorHAnsi" w:cstheme="minorHAnsi"/>
          <w:color w:val="FF0000"/>
        </w:rPr>
      </w:pPr>
      <w:r w:rsidRPr="0050685D">
        <w:rPr>
          <w:rFonts w:asciiTheme="majorHAnsi" w:hAnsiTheme="majorHAnsi" w:cstheme="minorHAnsi"/>
          <w:noProof/>
          <w:color w:val="FF0000"/>
        </w:rPr>
        <w:drawing>
          <wp:inline distT="0" distB="0" distL="0" distR="0" wp14:anchorId="38C4A474" wp14:editId="6AE5CBEE">
            <wp:extent cx="5277121" cy="3235960"/>
            <wp:effectExtent l="0" t="0" r="0" b="2540"/>
            <wp:docPr id="46" name="Obrázek 45" descr="graf Registrace CNG vozidel - C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 Registrace CNG vozidel - CDV.jpg"/>
                    <pic:cNvPicPr/>
                  </pic:nvPicPr>
                  <pic:blipFill>
                    <a:blip r:embed="rId22" cstate="print"/>
                    <a:stretch>
                      <a:fillRect/>
                    </a:stretch>
                  </pic:blipFill>
                  <pic:spPr>
                    <a:xfrm>
                      <a:off x="0" y="0"/>
                      <a:ext cx="5280248" cy="3237878"/>
                    </a:xfrm>
                    <a:prstGeom prst="rect">
                      <a:avLst/>
                    </a:prstGeom>
                  </pic:spPr>
                </pic:pic>
              </a:graphicData>
            </a:graphic>
          </wp:inline>
        </w:drawing>
      </w:r>
    </w:p>
    <w:p w14:paraId="12294EB3" w14:textId="77777777" w:rsidR="001B4719" w:rsidRPr="0050685D" w:rsidRDefault="001B4719" w:rsidP="001B4719">
      <w:pPr>
        <w:jc w:val="both"/>
      </w:pPr>
      <w:r w:rsidRPr="0050685D">
        <w:t>Zdroj: CRV/CDV/MD</w:t>
      </w:r>
    </w:p>
    <w:p w14:paraId="55BCF65A" w14:textId="77777777" w:rsidR="001B4719" w:rsidRPr="00EF3C02" w:rsidRDefault="001B4719" w:rsidP="001B4719">
      <w:pPr>
        <w:jc w:val="both"/>
        <w:rPr>
          <w:rFonts w:asciiTheme="majorHAnsi" w:hAnsiTheme="majorHAnsi" w:cstheme="minorHAnsi"/>
          <w:color w:val="000000"/>
        </w:rPr>
      </w:pPr>
      <w:r>
        <w:rPr>
          <w:rFonts w:asciiTheme="majorHAnsi" w:hAnsiTheme="majorHAnsi" w:cstheme="minorHAnsi"/>
          <w:color w:val="000000"/>
        </w:rPr>
        <w:br w:type="page"/>
      </w:r>
      <w:r w:rsidRPr="00D10B95">
        <w:rPr>
          <w:b/>
        </w:rPr>
        <w:lastRenderedPageBreak/>
        <w:t xml:space="preserve">Aktuální stav trhu vozidel na </w:t>
      </w:r>
      <w:r>
        <w:rPr>
          <w:b/>
        </w:rPr>
        <w:t>L</w:t>
      </w:r>
      <w:r w:rsidRPr="00D10B95">
        <w:rPr>
          <w:b/>
        </w:rPr>
        <w:t>NG v</w:t>
      </w:r>
      <w:r w:rsidR="00546698">
        <w:rPr>
          <w:b/>
        </w:rPr>
        <w:t> </w:t>
      </w:r>
      <w:r w:rsidRPr="00D10B95">
        <w:rPr>
          <w:b/>
        </w:rPr>
        <w:t>ČR</w:t>
      </w:r>
    </w:p>
    <w:p w14:paraId="4D43C5EB" w14:textId="77777777" w:rsidR="001B4719" w:rsidRDefault="001B4719" w:rsidP="001B4719">
      <w:pPr>
        <w:jc w:val="both"/>
        <w:rPr>
          <w:rFonts w:cs="Arial"/>
        </w:rPr>
      </w:pPr>
      <w:r w:rsidRPr="00AD5DF1">
        <w:rPr>
          <w:rFonts w:cs="Arial"/>
        </w:rPr>
        <w:t>V zahraničí, a</w:t>
      </w:r>
      <w:r w:rsidR="00546698">
        <w:rPr>
          <w:rFonts w:cs="Arial"/>
        </w:rPr>
        <w:t> </w:t>
      </w:r>
      <w:r w:rsidRPr="00AD5DF1">
        <w:rPr>
          <w:rFonts w:cs="Arial"/>
        </w:rPr>
        <w:t>především západních zemích EU, se stále více dostává do popředí LNG (bioLNG), především v</w:t>
      </w:r>
      <w:r w:rsidR="00546698">
        <w:rPr>
          <w:rFonts w:cs="Arial"/>
        </w:rPr>
        <w:t> </w:t>
      </w:r>
      <w:r w:rsidRPr="00AD5DF1">
        <w:rPr>
          <w:rFonts w:cs="Arial"/>
        </w:rPr>
        <w:t>nákladní silniční dopravě. Poslední údaje o</w:t>
      </w:r>
      <w:r w:rsidR="00546698">
        <w:rPr>
          <w:rFonts w:cs="Arial"/>
        </w:rPr>
        <w:t> </w:t>
      </w:r>
      <w:r w:rsidRPr="00AD5DF1">
        <w:rPr>
          <w:rFonts w:cs="Arial"/>
        </w:rPr>
        <w:t>růstových trendech publikované ve výroční zprávě o</w:t>
      </w:r>
      <w:r w:rsidR="00546698">
        <w:rPr>
          <w:rFonts w:cs="Arial"/>
        </w:rPr>
        <w:t> </w:t>
      </w:r>
      <w:r w:rsidRPr="00AD5DF1">
        <w:rPr>
          <w:rFonts w:cs="Arial"/>
        </w:rPr>
        <w:t>LNG Mezinárodní plynárenské unie za rok 2018 uvádějí růstový trend v</w:t>
      </w:r>
      <w:r w:rsidR="00546698">
        <w:rPr>
          <w:rFonts w:cs="Arial"/>
        </w:rPr>
        <w:t> </w:t>
      </w:r>
      <w:r w:rsidRPr="00AD5DF1">
        <w:rPr>
          <w:rFonts w:cs="Arial"/>
        </w:rPr>
        <w:t>roce 2017 o</w:t>
      </w:r>
      <w:r w:rsidR="00546698">
        <w:rPr>
          <w:rFonts w:cs="Arial"/>
        </w:rPr>
        <w:t> </w:t>
      </w:r>
      <w:r w:rsidRPr="00AD5DF1">
        <w:rPr>
          <w:rFonts w:cs="Arial"/>
        </w:rPr>
        <w:t>12 %. V</w:t>
      </w:r>
      <w:r w:rsidR="00546698">
        <w:rPr>
          <w:rFonts w:cs="Arial"/>
        </w:rPr>
        <w:t> </w:t>
      </w:r>
      <w:r w:rsidRPr="00AD5DF1">
        <w:rPr>
          <w:rFonts w:cs="Arial"/>
        </w:rPr>
        <w:t>Evropě je podle statistiky NGVA Europe (06/2019) je evidováno 200 veřejných plnicích stanic LNG, což je 100% nárůst od konce roku 2017 se 101</w:t>
      </w:r>
      <w:r>
        <w:rPr>
          <w:rFonts w:cs="Arial"/>
        </w:rPr>
        <w:t> </w:t>
      </w:r>
      <w:r w:rsidRPr="00AD5DF1">
        <w:rPr>
          <w:rFonts w:cs="Arial"/>
        </w:rPr>
        <w:t>LNG stanicemi.</w:t>
      </w:r>
    </w:p>
    <w:p w14:paraId="3C0C9F70" w14:textId="77777777" w:rsidR="001B4719" w:rsidRPr="00AD5DF1" w:rsidRDefault="001B4719" w:rsidP="001B4719">
      <w:pPr>
        <w:jc w:val="both"/>
        <w:rPr>
          <w:rFonts w:cs="Arial"/>
        </w:rPr>
      </w:pPr>
      <w:r w:rsidRPr="00AD5DF1">
        <w:rPr>
          <w:rFonts w:cs="Arial"/>
        </w:rPr>
        <w:t>Do tohoto trendu je významně zapojen český dodavatel Chart Ferox a.s., Děčín. V</w:t>
      </w:r>
      <w:r w:rsidR="00546698">
        <w:rPr>
          <w:rFonts w:cs="Arial"/>
        </w:rPr>
        <w:t> </w:t>
      </w:r>
      <w:r w:rsidRPr="00AD5DF1">
        <w:rPr>
          <w:rFonts w:cs="Arial"/>
        </w:rPr>
        <w:t xml:space="preserve">případě České republiky, kde zatím existuje jediná regazifikační stanice LNG, plynárenské společnosti stále hledají obchodní modely využití LNG. </w:t>
      </w:r>
    </w:p>
    <w:p w14:paraId="4B4D6813" w14:textId="77777777" w:rsidR="001B4719" w:rsidRPr="0050685D" w:rsidRDefault="001B4719" w:rsidP="001B4719">
      <w:pPr>
        <w:jc w:val="both"/>
        <w:rPr>
          <w:rFonts w:asciiTheme="majorHAnsi" w:hAnsiTheme="majorHAnsi" w:cstheme="minorHAnsi"/>
        </w:rPr>
      </w:pPr>
      <w:r w:rsidRPr="00AD5DF1">
        <w:rPr>
          <w:rFonts w:cs="Arial"/>
        </w:rPr>
        <w:t>Veškerá technika tohoto segmentu dopravy je zavedena jako standardní a</w:t>
      </w:r>
      <w:r w:rsidR="00546698">
        <w:rPr>
          <w:rFonts w:cs="Arial"/>
        </w:rPr>
        <w:t> </w:t>
      </w:r>
      <w:r w:rsidRPr="00AD5DF1">
        <w:rPr>
          <w:rFonts w:cs="Arial"/>
        </w:rPr>
        <w:t>ověřená velkým počtem provozovaných vozidel. Tato technika je také podpořena evropskými technickými normami na přepravní prostředky LNG, palubní systémy LNG vozidel a</w:t>
      </w:r>
      <w:r w:rsidR="00546698">
        <w:rPr>
          <w:rFonts w:cs="Arial"/>
        </w:rPr>
        <w:t> </w:t>
      </w:r>
      <w:r w:rsidRPr="00AD5DF1">
        <w:rPr>
          <w:rFonts w:cs="Arial"/>
        </w:rPr>
        <w:t>plnicí stanice LNG vozidel, jak to vyžaduje směrnice 2014/94/EU. Na podporu rozvoje dopravy na LNG byl v</w:t>
      </w:r>
      <w:r w:rsidR="00546698">
        <w:rPr>
          <w:rFonts w:cs="Arial"/>
        </w:rPr>
        <w:t> </w:t>
      </w:r>
      <w:r w:rsidRPr="00AD5DF1">
        <w:rPr>
          <w:rFonts w:cs="Arial"/>
        </w:rPr>
        <w:t xml:space="preserve">roce 2014 zahájen pětiletý projekt LNG Corridors, díky kterému se podařilo zajistit průjezdnost velké části Evropy vozidly na LNG na západ od ČR. </w:t>
      </w:r>
    </w:p>
    <w:p w14:paraId="739E7951" w14:textId="77777777" w:rsidR="001B4719" w:rsidRDefault="001B4719" w:rsidP="001B4719">
      <w:pPr>
        <w:spacing w:after="0"/>
        <w:jc w:val="both"/>
        <w:rPr>
          <w:rFonts w:asciiTheme="majorHAnsi" w:hAnsiTheme="majorHAnsi" w:cstheme="minorHAnsi"/>
        </w:rPr>
      </w:pPr>
      <w:r w:rsidRPr="000C4E5F">
        <w:t>V Evropě je nyní v</w:t>
      </w:r>
      <w:r w:rsidR="00546698">
        <w:t> </w:t>
      </w:r>
      <w:r w:rsidRPr="000C4E5F">
        <w:t>provozu cca 6</w:t>
      </w:r>
      <w:r>
        <w:t xml:space="preserve"> </w:t>
      </w:r>
      <w:r w:rsidRPr="000C4E5F">
        <w:t>000 tahačů na LNG, z</w:t>
      </w:r>
      <w:r w:rsidR="00546698">
        <w:t> </w:t>
      </w:r>
      <w:r w:rsidRPr="000C4E5F">
        <w:t>toho cca tři čtvrtiny Iveco a</w:t>
      </w:r>
      <w:r w:rsidR="00546698">
        <w:t> </w:t>
      </w:r>
      <w:r w:rsidRPr="000C4E5F">
        <w:t>zbytek Volvo a</w:t>
      </w:r>
      <w:r w:rsidR="00546698">
        <w:t> </w:t>
      </w:r>
      <w:r w:rsidRPr="000C4E5F">
        <w:t>Scania. V</w:t>
      </w:r>
      <w:r w:rsidR="00546698">
        <w:t> </w:t>
      </w:r>
      <w:r w:rsidRPr="000C4E5F">
        <w:t>porovnání s</w:t>
      </w:r>
      <w:r w:rsidR="00546698">
        <w:t> </w:t>
      </w:r>
      <w:r w:rsidRPr="000C4E5F">
        <w:t>jinými alternativními pohony silničních vozidel je v</w:t>
      </w:r>
      <w:r w:rsidR="00546698">
        <w:t> </w:t>
      </w:r>
      <w:r w:rsidRPr="000C4E5F">
        <w:t>případě LNG výhodou možnost rychlého masového nasazení s</w:t>
      </w:r>
      <w:r w:rsidR="00546698">
        <w:t> </w:t>
      </w:r>
      <w:r w:rsidRPr="000C4E5F">
        <w:t>nejnižšími náklady na jednotku úspory emisí. Rozvoji LNG v</w:t>
      </w:r>
      <w:r w:rsidR="00546698">
        <w:t> </w:t>
      </w:r>
      <w:r w:rsidRPr="000C4E5F">
        <w:t>těžké dopravě napomáhá kompaktnost paliva, která umožňuje dojezd na velké vzdálenosti</w:t>
      </w:r>
      <w:r w:rsidRPr="0050685D">
        <w:rPr>
          <w:rFonts w:asciiTheme="majorHAnsi" w:hAnsiTheme="majorHAnsi" w:cstheme="minorHAnsi"/>
        </w:rPr>
        <w:t>.</w:t>
      </w:r>
    </w:p>
    <w:p w14:paraId="21A0FF28" w14:textId="77777777" w:rsidR="00C95FCA" w:rsidRPr="00C95FCA" w:rsidRDefault="001B4719" w:rsidP="00C95FCA">
      <w:pPr>
        <w:jc w:val="both"/>
      </w:pPr>
      <w:r w:rsidRPr="0050685D">
        <w:t>Zahájením výstavby a</w:t>
      </w:r>
      <w:r w:rsidR="00546698">
        <w:t> </w:t>
      </w:r>
      <w:r w:rsidRPr="0050685D">
        <w:t>následně provozu plnicích stanic LNG v</w:t>
      </w:r>
      <w:r w:rsidR="00546698">
        <w:t> </w:t>
      </w:r>
      <w:r w:rsidRPr="0050685D">
        <w:t>ČR (</w:t>
      </w:r>
      <w:bookmarkStart w:id="270" w:name="OLE_LINK1"/>
      <w:r w:rsidRPr="0050685D">
        <w:t>OP Doprava, Specifický cíl 2.2</w:t>
      </w:r>
      <w:bookmarkEnd w:id="270"/>
      <w:r w:rsidRPr="0050685D">
        <w:t>) nastane i</w:t>
      </w:r>
      <w:r w:rsidR="00546698">
        <w:t> </w:t>
      </w:r>
      <w:r w:rsidRPr="0050685D">
        <w:t>v</w:t>
      </w:r>
      <w:r>
        <w:t> </w:t>
      </w:r>
      <w:r w:rsidRPr="0050685D">
        <w:t>ČR rozvoj LNG v</w:t>
      </w:r>
      <w:r w:rsidR="00546698">
        <w:t> </w:t>
      </w:r>
      <w:r w:rsidRPr="0050685D">
        <w:t>nákladní dopravě včetně LNG tahačů (jedná se především o</w:t>
      </w:r>
      <w:r w:rsidR="00546698">
        <w:t> </w:t>
      </w:r>
      <w:r w:rsidRPr="0050685D">
        <w:t>přepravce a</w:t>
      </w:r>
      <w:r w:rsidR="00546698">
        <w:t> </w:t>
      </w:r>
      <w:r w:rsidRPr="0050685D">
        <w:t>mezinárodní spediční společnosti). Vznikající infrastruktura LNG stanic (13</w:t>
      </w:r>
      <w:r>
        <w:t> </w:t>
      </w:r>
      <w:r w:rsidRPr="0050685D">
        <w:t>nových lokalit) vytvoří dostatečné pokrytí sítě TEN-T na území České republiky, a</w:t>
      </w:r>
      <w:r w:rsidR="00546698">
        <w:t> </w:t>
      </w:r>
      <w:r w:rsidRPr="0050685D">
        <w:t>navíc umožní zahraničním přepravcům průjezdnost přes naše území a</w:t>
      </w:r>
      <w:r w:rsidR="00546698">
        <w:t> </w:t>
      </w:r>
      <w:r w:rsidRPr="0050685D">
        <w:t>ČR se pro mezinárodní přepravce stane transitní zemí v</w:t>
      </w:r>
      <w:r w:rsidR="00546698">
        <w:t> </w:t>
      </w:r>
      <w:r w:rsidRPr="0050685D">
        <w:t>rámci evropských koridorů sever-jih a</w:t>
      </w:r>
      <w:r w:rsidR="00546698">
        <w:t> </w:t>
      </w:r>
      <w:r w:rsidRPr="0050685D">
        <w:t>západ-východ, ve smyslu TEN-T. Tato skutečnost napomůže plnit doporučení Evropské Komise, aby ČR rozšířila a</w:t>
      </w:r>
      <w:r w:rsidR="00546698">
        <w:t> </w:t>
      </w:r>
      <w:r w:rsidRPr="0050685D">
        <w:t xml:space="preserve">zlepšila přeshraniční spolupráci. </w:t>
      </w:r>
    </w:p>
    <w:p w14:paraId="38695635" w14:textId="77777777" w:rsidR="00C95FCA" w:rsidRDefault="00C95FCA" w:rsidP="00C95FCA">
      <w:pPr>
        <w:pStyle w:val="Titulek"/>
        <w:keepNext/>
        <w:jc w:val="both"/>
      </w:pPr>
      <w:bookmarkStart w:id="271" w:name="_Toc25230415"/>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8</w:t>
      </w:r>
      <w:r w:rsidR="001614BC">
        <w:rPr>
          <w:noProof/>
        </w:rPr>
        <w:fldChar w:fldCharType="end"/>
      </w:r>
      <w:r w:rsidRPr="00C95FCA">
        <w:t xml:space="preserve"> </w:t>
      </w:r>
      <w:r w:rsidRPr="00E96BE8">
        <w:t>Rozmístění plánovaných LNG plnicích stanic přímo na hlavních dopravních tazích</w:t>
      </w:r>
      <w:bookmarkEnd w:id="271"/>
    </w:p>
    <w:p w14:paraId="3C1CFD54" w14:textId="77777777" w:rsidR="001B4719" w:rsidRPr="0050685D" w:rsidRDefault="001B4719" w:rsidP="001B4719">
      <w:pPr>
        <w:spacing w:after="0"/>
        <w:jc w:val="both"/>
        <w:rPr>
          <w:rFonts w:asciiTheme="majorHAnsi" w:hAnsiTheme="majorHAnsi" w:cstheme="minorHAnsi"/>
          <w:i/>
          <w:sz w:val="20"/>
          <w:szCs w:val="20"/>
        </w:rPr>
      </w:pPr>
      <w:r w:rsidRPr="0050685D">
        <w:rPr>
          <w:rFonts w:asciiTheme="majorHAnsi" w:hAnsiTheme="majorHAnsi" w:cstheme="minorHAnsi"/>
          <w:noProof/>
        </w:rPr>
        <w:drawing>
          <wp:inline distT="0" distB="0" distL="0" distR="0" wp14:anchorId="0CCD68D8" wp14:editId="3F3BD1DA">
            <wp:extent cx="5652000" cy="3526425"/>
            <wp:effectExtent l="0" t="0" r="635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652000" cy="3526425"/>
                    </a:xfrm>
                    <a:prstGeom prst="rect">
                      <a:avLst/>
                    </a:prstGeom>
                  </pic:spPr>
                </pic:pic>
              </a:graphicData>
            </a:graphic>
          </wp:inline>
        </w:drawing>
      </w:r>
      <w:r w:rsidRPr="0050685D">
        <w:rPr>
          <w:rFonts w:asciiTheme="majorHAnsi" w:hAnsiTheme="majorHAnsi" w:cstheme="minorHAnsi"/>
          <w:b/>
        </w:rPr>
        <w:br/>
      </w:r>
      <w:r w:rsidRPr="00E96BE8">
        <w:t>Zdroj: ČPS</w:t>
      </w:r>
    </w:p>
    <w:p w14:paraId="3F2F63B2" w14:textId="77777777" w:rsidR="001B4719" w:rsidRDefault="001B4719" w:rsidP="001B4719">
      <w:pPr>
        <w:spacing w:before="0" w:after="0"/>
        <w:jc w:val="both"/>
        <w:rPr>
          <w:rFonts w:cstheme="minorHAnsi"/>
          <w:b/>
          <w:bCs/>
          <w:szCs w:val="26"/>
        </w:rPr>
      </w:pPr>
      <w:bookmarkStart w:id="272" w:name="_Toc13685872"/>
    </w:p>
    <w:p w14:paraId="181077E3" w14:textId="77777777" w:rsidR="001B4719" w:rsidRPr="0050685D" w:rsidRDefault="001B4719" w:rsidP="001B4719">
      <w:pPr>
        <w:pStyle w:val="Nadpis4"/>
        <w:numPr>
          <w:ilvl w:val="3"/>
          <w:numId w:val="9"/>
        </w:numPr>
        <w:jc w:val="both"/>
      </w:pPr>
      <w:bookmarkStart w:id="273" w:name="_Toc13753765"/>
      <w:bookmarkStart w:id="274" w:name="_Toc19792332"/>
      <w:bookmarkStart w:id="275" w:name="_Toc25136803"/>
      <w:bookmarkStart w:id="276" w:name="_Toc34295928"/>
      <w:r w:rsidRPr="0050685D">
        <w:lastRenderedPageBreak/>
        <w:t xml:space="preserve">Bioplyn / </w:t>
      </w:r>
      <w:r>
        <w:t>biometan</w:t>
      </w:r>
      <w:bookmarkEnd w:id="272"/>
      <w:bookmarkEnd w:id="273"/>
      <w:bookmarkEnd w:id="274"/>
      <w:bookmarkEnd w:id="275"/>
      <w:bookmarkEnd w:id="276"/>
      <w:r w:rsidRPr="0050685D">
        <w:t xml:space="preserve"> </w:t>
      </w:r>
    </w:p>
    <w:p w14:paraId="4AD3F93C" w14:textId="77777777" w:rsidR="001B4719" w:rsidRPr="0050685D" w:rsidRDefault="001B4719" w:rsidP="001B4719">
      <w:pPr>
        <w:jc w:val="both"/>
      </w:pPr>
      <w:r w:rsidRPr="0050685D">
        <w:t>Ke konci roku 2018 bylo v</w:t>
      </w:r>
      <w:r w:rsidR="00546698">
        <w:t> </w:t>
      </w:r>
      <w:r w:rsidRPr="0050685D">
        <w:t>ČR 581 stanic s</w:t>
      </w:r>
      <w:r w:rsidR="00546698">
        <w:t> </w:t>
      </w:r>
      <w:r w:rsidRPr="0050685D">
        <w:t>výkonem ca 570 MWe a</w:t>
      </w:r>
      <w:r w:rsidR="00546698">
        <w:t> </w:t>
      </w:r>
      <w:r w:rsidRPr="0050685D">
        <w:t>výrobou cca 1,42</w:t>
      </w:r>
      <w:r>
        <w:t> </w:t>
      </w:r>
      <w:r w:rsidRPr="0050685D">
        <w:t>mld.</w:t>
      </w:r>
      <w:r>
        <w:t> </w:t>
      </w:r>
      <w:r w:rsidRPr="0050685D">
        <w:t>m</w:t>
      </w:r>
      <w:r w:rsidRPr="0050685D">
        <w:rPr>
          <w:vertAlign w:val="superscript"/>
        </w:rPr>
        <w:t>3</w:t>
      </w:r>
      <w:r w:rsidRPr="0050685D">
        <w:t xml:space="preserve"> bioplynu/rok a</w:t>
      </w:r>
      <w:r w:rsidR="00546698">
        <w:t> </w:t>
      </w:r>
      <w:r w:rsidRPr="0050685D">
        <w:t>s</w:t>
      </w:r>
      <w:r>
        <w:t> </w:t>
      </w:r>
      <w:r w:rsidRPr="0050685D">
        <w:t>potencionální výrobní kapacitou v</w:t>
      </w:r>
      <w:r w:rsidR="00546698">
        <w:t> </w:t>
      </w:r>
      <w:r w:rsidRPr="0050685D">
        <w:t>roce 2030 cca 481</w:t>
      </w:r>
      <w:r>
        <w:t> </w:t>
      </w:r>
      <w:r w:rsidRPr="0050685D">
        <w:t>135</w:t>
      </w:r>
      <w:r>
        <w:t> </w:t>
      </w:r>
      <w:r w:rsidRPr="0050685D">
        <w:t>m</w:t>
      </w:r>
      <w:r w:rsidRPr="0050685D">
        <w:rPr>
          <w:vertAlign w:val="superscript"/>
        </w:rPr>
        <w:t>3</w:t>
      </w:r>
      <w:r w:rsidRPr="0050685D">
        <w:t xml:space="preserve">/rok </w:t>
      </w:r>
      <w:r>
        <w:t>biometan</w:t>
      </w:r>
      <w:r w:rsidRPr="0050685D">
        <w:t xml:space="preserve">u (dle predikce CZ BIOM). </w:t>
      </w:r>
    </w:p>
    <w:p w14:paraId="410D4E5C" w14:textId="77777777" w:rsidR="001B4719" w:rsidRPr="00C51A45" w:rsidRDefault="001B4719" w:rsidP="001B4719">
      <w:pPr>
        <w:pStyle w:val="Default"/>
        <w:spacing w:line="276" w:lineRule="auto"/>
        <w:jc w:val="both"/>
        <w:rPr>
          <w:sz w:val="22"/>
          <w:szCs w:val="22"/>
        </w:rPr>
      </w:pPr>
      <w:r w:rsidRPr="00C51A45">
        <w:rPr>
          <w:sz w:val="22"/>
          <w:szCs w:val="22"/>
        </w:rPr>
        <w:t xml:space="preserve">Výrobny bioplynu jsou rozděleny do skupin: </w:t>
      </w:r>
    </w:p>
    <w:p w14:paraId="3683F7EA" w14:textId="77777777" w:rsidR="001B4719" w:rsidRPr="00C51A45" w:rsidRDefault="001B4719" w:rsidP="001B4719">
      <w:pPr>
        <w:pStyle w:val="Default"/>
        <w:numPr>
          <w:ilvl w:val="0"/>
          <w:numId w:val="22"/>
        </w:numPr>
        <w:spacing w:line="276" w:lineRule="auto"/>
        <w:ind w:left="720" w:hanging="360"/>
        <w:jc w:val="both"/>
        <w:rPr>
          <w:sz w:val="22"/>
          <w:szCs w:val="22"/>
        </w:rPr>
      </w:pPr>
      <w:r w:rsidRPr="00C51A45">
        <w:rPr>
          <w:sz w:val="22"/>
          <w:szCs w:val="22"/>
        </w:rPr>
        <w:t xml:space="preserve"> 404 bioplynových stanic </w:t>
      </w:r>
    </w:p>
    <w:p w14:paraId="7FCA9356" w14:textId="77777777" w:rsidR="001B4719" w:rsidRPr="00C51A45" w:rsidRDefault="001B4719" w:rsidP="001B4719">
      <w:pPr>
        <w:pStyle w:val="Default"/>
        <w:numPr>
          <w:ilvl w:val="0"/>
          <w:numId w:val="22"/>
        </w:numPr>
        <w:spacing w:line="276" w:lineRule="auto"/>
        <w:ind w:left="720" w:hanging="360"/>
        <w:jc w:val="both"/>
        <w:rPr>
          <w:sz w:val="22"/>
          <w:szCs w:val="22"/>
        </w:rPr>
      </w:pPr>
      <w:r w:rsidRPr="00C51A45">
        <w:rPr>
          <w:sz w:val="22"/>
          <w:szCs w:val="22"/>
        </w:rPr>
        <w:t xml:space="preserve">   94 komunálních ČOV </w:t>
      </w:r>
    </w:p>
    <w:p w14:paraId="19834773" w14:textId="77777777" w:rsidR="001B4719" w:rsidRPr="00C51A45" w:rsidRDefault="001B4719" w:rsidP="001B4719">
      <w:pPr>
        <w:pStyle w:val="Default"/>
        <w:numPr>
          <w:ilvl w:val="0"/>
          <w:numId w:val="22"/>
        </w:numPr>
        <w:spacing w:line="276" w:lineRule="auto"/>
        <w:ind w:left="720" w:hanging="360"/>
        <w:jc w:val="both"/>
        <w:rPr>
          <w:sz w:val="22"/>
          <w:szCs w:val="22"/>
        </w:rPr>
      </w:pPr>
      <w:r w:rsidRPr="00C51A45">
        <w:rPr>
          <w:sz w:val="22"/>
          <w:szCs w:val="22"/>
        </w:rPr>
        <w:t xml:space="preserve">   68 stanic skládkového plynu </w:t>
      </w:r>
    </w:p>
    <w:p w14:paraId="5C58CE55" w14:textId="77777777" w:rsidR="001B4719" w:rsidRPr="00C51A45" w:rsidRDefault="001B4719" w:rsidP="001B4719">
      <w:pPr>
        <w:pStyle w:val="Default"/>
        <w:numPr>
          <w:ilvl w:val="0"/>
          <w:numId w:val="22"/>
        </w:numPr>
        <w:spacing w:line="276" w:lineRule="auto"/>
        <w:ind w:left="720" w:hanging="360"/>
        <w:jc w:val="both"/>
        <w:rPr>
          <w:sz w:val="22"/>
          <w:szCs w:val="22"/>
        </w:rPr>
      </w:pPr>
      <w:r w:rsidRPr="00C51A45">
        <w:rPr>
          <w:sz w:val="22"/>
          <w:szCs w:val="22"/>
        </w:rPr>
        <w:t xml:space="preserve">   15 průmyslových ČOV </w:t>
      </w:r>
    </w:p>
    <w:p w14:paraId="55F07EA0" w14:textId="77777777" w:rsidR="00C95FCA" w:rsidRPr="00C95FCA" w:rsidRDefault="001B4719" w:rsidP="00C95FCA">
      <w:pPr>
        <w:jc w:val="both"/>
      </w:pPr>
      <w:r w:rsidRPr="0050685D">
        <w:t xml:space="preserve">Odhad výroby </w:t>
      </w:r>
      <w:r>
        <w:t>biometan</w:t>
      </w:r>
      <w:r w:rsidRPr="0050685D">
        <w:t>u z</w:t>
      </w:r>
      <w:r w:rsidR="00546698">
        <w:t> </w:t>
      </w:r>
      <w:r w:rsidRPr="0050685D">
        <w:t>nových BPS ve výši cca 0,3 mld. m</w:t>
      </w:r>
      <w:r w:rsidRPr="0050685D">
        <w:rPr>
          <w:vertAlign w:val="superscript"/>
        </w:rPr>
        <w:t>3</w:t>
      </w:r>
      <w:r w:rsidRPr="0050685D">
        <w:t>/rok.</w:t>
      </w:r>
    </w:p>
    <w:p w14:paraId="0636A19C" w14:textId="77777777" w:rsidR="00C95FCA" w:rsidRDefault="00C95FCA" w:rsidP="00C95FCA">
      <w:pPr>
        <w:pStyle w:val="Titulek"/>
        <w:keepNext/>
        <w:jc w:val="both"/>
      </w:pPr>
      <w:bookmarkStart w:id="277" w:name="_Toc25230416"/>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9</w:t>
      </w:r>
      <w:r w:rsidR="001614BC">
        <w:rPr>
          <w:noProof/>
        </w:rPr>
        <w:fldChar w:fldCharType="end"/>
      </w:r>
      <w:r w:rsidRPr="00C95FCA">
        <w:t xml:space="preserve"> </w:t>
      </w:r>
      <w:r w:rsidRPr="00C51A45">
        <w:t>Přehled bioplynových stanic a</w:t>
      </w:r>
      <w:r w:rsidR="00546698">
        <w:t> </w:t>
      </w:r>
      <w:r w:rsidRPr="00C51A45">
        <w:t>jejich vzdálenost k</w:t>
      </w:r>
      <w:r w:rsidR="00546698">
        <w:t> </w:t>
      </w:r>
      <w:r w:rsidRPr="00C51A45">
        <w:t>plynovodům</w:t>
      </w:r>
      <w:bookmarkEnd w:id="277"/>
    </w:p>
    <w:p w14:paraId="78E29D35" w14:textId="77777777" w:rsidR="001B4719" w:rsidRPr="0050685D" w:rsidRDefault="001B4719" w:rsidP="001B4719">
      <w:pPr>
        <w:spacing w:after="0"/>
        <w:jc w:val="both"/>
        <w:rPr>
          <w:rFonts w:asciiTheme="majorHAnsi" w:hAnsiTheme="majorHAnsi" w:cstheme="minorHAnsi"/>
          <w:sz w:val="20"/>
        </w:rPr>
      </w:pPr>
      <w:r w:rsidRPr="0050685D">
        <w:rPr>
          <w:rFonts w:asciiTheme="majorHAnsi" w:hAnsiTheme="majorHAnsi" w:cstheme="minorHAnsi"/>
          <w:noProof/>
          <w:sz w:val="20"/>
          <w:szCs w:val="20"/>
        </w:rPr>
        <w:drawing>
          <wp:inline distT="0" distB="0" distL="0" distR="0" wp14:anchorId="74EE788D" wp14:editId="7B93A9B0">
            <wp:extent cx="5760720" cy="4072890"/>
            <wp:effectExtent l="19050" t="0" r="0" b="0"/>
            <wp:docPr id="34" name="Obrázek 3" descr="Prehled-bioplynovych-stanic-v--zonach-(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hled-bioplynovych-stanic-v--zonach-(2019).jpg"/>
                    <pic:cNvPicPr/>
                  </pic:nvPicPr>
                  <pic:blipFill>
                    <a:blip r:embed="rId24" cstate="print"/>
                    <a:stretch>
                      <a:fillRect/>
                    </a:stretch>
                  </pic:blipFill>
                  <pic:spPr>
                    <a:xfrm>
                      <a:off x="0" y="0"/>
                      <a:ext cx="5760720" cy="4072890"/>
                    </a:xfrm>
                    <a:prstGeom prst="rect">
                      <a:avLst/>
                    </a:prstGeom>
                  </pic:spPr>
                </pic:pic>
              </a:graphicData>
            </a:graphic>
          </wp:inline>
        </w:drawing>
      </w:r>
      <w:r w:rsidRPr="00C51A45">
        <w:t>Zdroj: ČPS</w:t>
      </w:r>
    </w:p>
    <w:p w14:paraId="28B5FBA8" w14:textId="77777777" w:rsidR="001B4719" w:rsidRPr="005A53D8" w:rsidRDefault="001B4719" w:rsidP="001B4719">
      <w:pPr>
        <w:pStyle w:val="Nadpis3"/>
        <w:numPr>
          <w:ilvl w:val="2"/>
          <w:numId w:val="9"/>
        </w:numPr>
        <w:tabs>
          <w:tab w:val="left" w:pos="851"/>
          <w:tab w:val="num" w:pos="2411"/>
        </w:tabs>
        <w:ind w:left="284" w:firstLine="0"/>
        <w:jc w:val="both"/>
      </w:pPr>
      <w:bookmarkStart w:id="278" w:name="_Toc13685874"/>
      <w:bookmarkStart w:id="279" w:name="_Toc13753767"/>
      <w:bookmarkStart w:id="280" w:name="_Toc19792333"/>
      <w:bookmarkStart w:id="281" w:name="_Toc25084477"/>
      <w:bookmarkStart w:id="282" w:name="_Toc25136804"/>
      <w:bookmarkStart w:id="283" w:name="_Toc34295929"/>
      <w:r w:rsidRPr="005A53D8">
        <w:t>Kvantifikace úspor emisí CO</w:t>
      </w:r>
      <w:r w:rsidRPr="005A53D8">
        <w:rPr>
          <w:vertAlign w:val="subscript"/>
        </w:rPr>
        <w:t>2</w:t>
      </w:r>
      <w:bookmarkEnd w:id="278"/>
      <w:bookmarkEnd w:id="279"/>
      <w:bookmarkEnd w:id="280"/>
      <w:bookmarkEnd w:id="281"/>
      <w:bookmarkEnd w:id="282"/>
      <w:bookmarkEnd w:id="283"/>
    </w:p>
    <w:p w14:paraId="68842A2E" w14:textId="77777777" w:rsidR="001B4719" w:rsidRPr="0050685D" w:rsidRDefault="001B4719" w:rsidP="001B4719">
      <w:pPr>
        <w:jc w:val="both"/>
      </w:pPr>
      <w:r w:rsidRPr="0050685D">
        <w:t>Strategickým cílem Evropské unie je snižování emisí z</w:t>
      </w:r>
      <w:r w:rsidR="00546698">
        <w:t> </w:t>
      </w:r>
      <w:r w:rsidRPr="0050685D">
        <w:t>dopravy, na což výrobci vozidel reagují vývojem dokonalejších motorů. Nové motory spalující CNG a</w:t>
      </w:r>
      <w:r w:rsidR="00546698">
        <w:t> </w:t>
      </w:r>
      <w:r w:rsidRPr="0050685D">
        <w:t>LNG splňují normy EURO IV a</w:t>
      </w:r>
      <w:r w:rsidR="00546698">
        <w:t> </w:t>
      </w:r>
      <w:r w:rsidRPr="0050685D">
        <w:t>v</w:t>
      </w:r>
      <w:r>
        <w:t> </w:t>
      </w:r>
      <w:r w:rsidRPr="0050685D">
        <w:t>současnosti jsou jedním z</w:t>
      </w:r>
      <w:r w:rsidR="00546698">
        <w:t> </w:t>
      </w:r>
      <w:r w:rsidRPr="0050685D">
        <w:t xml:space="preserve">nejekonomičtějších alternativních pohonů, které při použití obnovitelného </w:t>
      </w:r>
      <w:r>
        <w:t>biometan</w:t>
      </w:r>
      <w:r w:rsidRPr="0050685D">
        <w:t>u druhé generace garantují dosažení požadovaných emisních limitů stanovených pro čistou mobilitu. Tato technologie je navíc plně vyvinuta a</w:t>
      </w:r>
      <w:r w:rsidR="00546698">
        <w:t> </w:t>
      </w:r>
      <w:r w:rsidRPr="0050685D">
        <w:t>v</w:t>
      </w:r>
      <w:r>
        <w:t> </w:t>
      </w:r>
      <w:r w:rsidRPr="0050685D">
        <w:t>současnosti praxí i</w:t>
      </w:r>
      <w:r w:rsidR="00546698">
        <w:t> </w:t>
      </w:r>
      <w:r w:rsidRPr="0050685D">
        <w:t>komerčně ověřena.</w:t>
      </w:r>
      <w:r>
        <w:t xml:space="preserve"> </w:t>
      </w:r>
    </w:p>
    <w:p w14:paraId="315311DC" w14:textId="77777777" w:rsidR="001B4719" w:rsidRDefault="001B4719" w:rsidP="001B4719">
      <w:pPr>
        <w:spacing w:after="0"/>
        <w:jc w:val="both"/>
        <w:rPr>
          <w:rFonts w:cs="Arial"/>
        </w:rPr>
      </w:pPr>
      <w:r w:rsidRPr="005A53D8">
        <w:rPr>
          <w:rFonts w:cs="Arial"/>
          <w:b/>
          <w:bCs/>
        </w:rPr>
        <w:t>Úspora emisí CO</w:t>
      </w:r>
      <w:r w:rsidRPr="005A53D8">
        <w:rPr>
          <w:rFonts w:cs="Arial"/>
          <w:b/>
          <w:bCs/>
          <w:vertAlign w:val="subscript"/>
        </w:rPr>
        <w:t>2</w:t>
      </w:r>
      <w:r w:rsidRPr="005A53D8">
        <w:rPr>
          <w:rFonts w:cs="Arial"/>
          <w:b/>
          <w:bCs/>
        </w:rPr>
        <w:t xml:space="preserve"> odráží postupnou náhradu zemního plynu</w:t>
      </w:r>
      <w:r w:rsidRPr="005A53D8">
        <w:rPr>
          <w:rFonts w:cs="Arial"/>
        </w:rPr>
        <w:t xml:space="preserve"> (CNG a</w:t>
      </w:r>
      <w:r w:rsidR="00546698">
        <w:rPr>
          <w:rFonts w:cs="Arial"/>
        </w:rPr>
        <w:t> </w:t>
      </w:r>
      <w:r w:rsidRPr="005A53D8">
        <w:rPr>
          <w:rFonts w:cs="Arial"/>
        </w:rPr>
        <w:t xml:space="preserve">LNG) </w:t>
      </w:r>
      <w:r w:rsidRPr="005A53D8">
        <w:rPr>
          <w:rFonts w:cs="Arial"/>
          <w:b/>
          <w:bCs/>
        </w:rPr>
        <w:t xml:space="preserve">pokročilým </w:t>
      </w:r>
      <w:r>
        <w:rPr>
          <w:rFonts w:cs="Arial"/>
          <w:b/>
          <w:bCs/>
        </w:rPr>
        <w:t>biometan</w:t>
      </w:r>
      <w:r w:rsidRPr="005A53D8">
        <w:rPr>
          <w:rFonts w:cs="Arial"/>
          <w:b/>
          <w:bCs/>
        </w:rPr>
        <w:t>em</w:t>
      </w:r>
      <w:r w:rsidRPr="005A53D8">
        <w:rPr>
          <w:rFonts w:cs="Arial"/>
        </w:rPr>
        <w:t xml:space="preserve"> (bioCNG/bioLNG) </w:t>
      </w:r>
      <w:r w:rsidRPr="005A53D8">
        <w:rPr>
          <w:rFonts w:cs="Arial"/>
          <w:b/>
          <w:bCs/>
        </w:rPr>
        <w:t>podle predikovaných scénářů</w:t>
      </w:r>
      <w:r w:rsidRPr="005A53D8">
        <w:rPr>
          <w:rFonts w:cs="Arial"/>
        </w:rPr>
        <w:t xml:space="preserve"> (V - PA, V</w:t>
      </w:r>
      <w:r w:rsidR="00546698">
        <w:rPr>
          <w:rFonts w:cs="Arial"/>
        </w:rPr>
        <w:t> </w:t>
      </w:r>
      <w:r w:rsidRPr="005A53D8">
        <w:rPr>
          <w:rFonts w:cs="Arial"/>
        </w:rPr>
        <w:t>- BAU, V</w:t>
      </w:r>
      <w:r w:rsidR="00546698">
        <w:rPr>
          <w:rFonts w:cs="Arial"/>
        </w:rPr>
        <w:t> </w:t>
      </w:r>
      <w:r w:rsidRPr="005A53D8">
        <w:rPr>
          <w:rFonts w:cs="Arial"/>
        </w:rPr>
        <w:t xml:space="preserve">- BP) </w:t>
      </w:r>
      <w:r w:rsidRPr="005A53D8">
        <w:rPr>
          <w:rFonts w:cs="Arial"/>
          <w:b/>
          <w:bCs/>
        </w:rPr>
        <w:t>a</w:t>
      </w:r>
      <w:r w:rsidR="00546698">
        <w:rPr>
          <w:rFonts w:cs="Arial"/>
          <w:b/>
          <w:bCs/>
        </w:rPr>
        <w:t> </w:t>
      </w:r>
      <w:r w:rsidRPr="005A53D8">
        <w:rPr>
          <w:rFonts w:cs="Arial"/>
          <w:b/>
          <w:bCs/>
        </w:rPr>
        <w:t>v</w:t>
      </w:r>
      <w:r>
        <w:rPr>
          <w:rFonts w:cs="Arial"/>
          <w:b/>
          <w:bCs/>
        </w:rPr>
        <w:t> </w:t>
      </w:r>
      <w:r w:rsidRPr="005A53D8">
        <w:rPr>
          <w:rFonts w:cs="Arial"/>
          <w:b/>
          <w:bCs/>
        </w:rPr>
        <w:t>objemech odpovídajících jednotlivým variantám</w:t>
      </w:r>
      <w:r w:rsidRPr="005A53D8">
        <w:rPr>
          <w:rFonts w:cs="Arial"/>
        </w:rPr>
        <w:t xml:space="preserve"> (V – 14 %, V</w:t>
      </w:r>
      <w:r w:rsidR="00546698">
        <w:rPr>
          <w:rFonts w:cs="Arial"/>
        </w:rPr>
        <w:t> </w:t>
      </w:r>
      <w:r w:rsidRPr="005A53D8">
        <w:rPr>
          <w:rFonts w:cs="Arial"/>
        </w:rPr>
        <w:t>- NKEP, V</w:t>
      </w:r>
      <w:r w:rsidR="00546698">
        <w:rPr>
          <w:rFonts w:cs="Arial"/>
        </w:rPr>
        <w:t> </w:t>
      </w:r>
      <w:r w:rsidRPr="005A53D8">
        <w:rPr>
          <w:rFonts w:cs="Arial"/>
        </w:rPr>
        <w:t xml:space="preserve">– BioReal) </w:t>
      </w:r>
      <w:r w:rsidRPr="005A53D8">
        <w:rPr>
          <w:rFonts w:cs="Arial"/>
          <w:b/>
          <w:bCs/>
        </w:rPr>
        <w:t>jeho produkce a</w:t>
      </w:r>
      <w:r w:rsidR="00546698">
        <w:rPr>
          <w:rFonts w:cs="Arial"/>
          <w:b/>
          <w:bCs/>
        </w:rPr>
        <w:t> </w:t>
      </w:r>
      <w:r w:rsidRPr="005A53D8">
        <w:rPr>
          <w:rFonts w:cs="Arial"/>
          <w:b/>
          <w:bCs/>
        </w:rPr>
        <w:t>využití v</w:t>
      </w:r>
      <w:r w:rsidR="00546698">
        <w:rPr>
          <w:rFonts w:cs="Arial"/>
          <w:b/>
          <w:bCs/>
        </w:rPr>
        <w:t> </w:t>
      </w:r>
      <w:r w:rsidRPr="005A53D8">
        <w:rPr>
          <w:rFonts w:cs="Arial"/>
          <w:b/>
          <w:bCs/>
        </w:rPr>
        <w:t>dopravě ve vazbě</w:t>
      </w:r>
      <w:r w:rsidRPr="005A53D8">
        <w:rPr>
          <w:rFonts w:cs="Arial"/>
        </w:rPr>
        <w:t xml:space="preserve"> </w:t>
      </w:r>
      <w:r w:rsidRPr="005A53D8">
        <w:rPr>
          <w:rFonts w:cs="Arial"/>
          <w:b/>
          <w:bCs/>
        </w:rPr>
        <w:t>na</w:t>
      </w:r>
      <w:r w:rsidRPr="005A53D8">
        <w:rPr>
          <w:rFonts w:cs="Arial"/>
        </w:rPr>
        <w:t xml:space="preserve"> (ilustrativní) </w:t>
      </w:r>
      <w:r w:rsidRPr="005A53D8">
        <w:rPr>
          <w:rFonts w:cs="Arial"/>
          <w:b/>
          <w:bCs/>
        </w:rPr>
        <w:t>použití vstupní suroviny k</w:t>
      </w:r>
      <w:r w:rsidR="00546698">
        <w:rPr>
          <w:rFonts w:cs="Arial"/>
          <w:b/>
          <w:bCs/>
        </w:rPr>
        <w:t> </w:t>
      </w:r>
      <w:r w:rsidRPr="005A53D8">
        <w:rPr>
          <w:rFonts w:cs="Arial"/>
          <w:b/>
          <w:bCs/>
        </w:rPr>
        <w:t>jeho výrobě</w:t>
      </w:r>
      <w:r w:rsidRPr="005A53D8">
        <w:rPr>
          <w:rFonts w:cs="Arial"/>
        </w:rPr>
        <w:t>: a) komunální odpad (K.O.) a</w:t>
      </w:r>
      <w:r w:rsidR="00546698">
        <w:rPr>
          <w:rFonts w:cs="Arial"/>
        </w:rPr>
        <w:t> </w:t>
      </w:r>
      <w:r w:rsidRPr="005A53D8">
        <w:rPr>
          <w:rFonts w:cs="Arial"/>
        </w:rPr>
        <w:t>b) suchá mrva (S.M.).</w:t>
      </w:r>
    </w:p>
    <w:p w14:paraId="5AE0F505" w14:textId="77777777" w:rsidR="00C95FCA" w:rsidRPr="00C95FCA" w:rsidRDefault="001B4719" w:rsidP="00C95FCA">
      <w:pPr>
        <w:spacing w:after="0"/>
        <w:jc w:val="both"/>
        <w:rPr>
          <w:rFonts w:cs="Arial"/>
        </w:rPr>
      </w:pPr>
      <w:r w:rsidRPr="005A53D8">
        <w:lastRenderedPageBreak/>
        <w:t>Výsledky testů a</w:t>
      </w:r>
      <w:r w:rsidR="00546698">
        <w:t> </w:t>
      </w:r>
      <w:r w:rsidRPr="005A53D8">
        <w:t xml:space="preserve">praxe potvrzuje, že spalování </w:t>
      </w:r>
      <w:r>
        <w:t>biometan</w:t>
      </w:r>
      <w:r w:rsidRPr="005A53D8">
        <w:t>u v</w:t>
      </w:r>
      <w:r w:rsidR="00546698">
        <w:t> </w:t>
      </w:r>
      <w:r w:rsidRPr="005A53D8">
        <w:t>motorech je identické jako spalování zemního plynu, podstatně snižuje množství CO</w:t>
      </w:r>
      <w:r w:rsidRPr="00CF2D43">
        <w:rPr>
          <w:vertAlign w:val="subscript"/>
        </w:rPr>
        <w:t>2</w:t>
      </w:r>
      <w:r w:rsidRPr="005A53D8">
        <w:t xml:space="preserve"> a</w:t>
      </w:r>
      <w:r w:rsidR="00546698">
        <w:t> </w:t>
      </w:r>
      <w:r w:rsidRPr="005A53D8">
        <w:t>nezpůsobuje tvorbu rakovinotvorných polycyklických aromatických uhlovodíků (PAU) vázaných na prachové částice (PM), které jsou u</w:t>
      </w:r>
      <w:r w:rsidR="00546698">
        <w:t> </w:t>
      </w:r>
      <w:r w:rsidRPr="005A53D8">
        <w:t>zemního plynu i</w:t>
      </w:r>
      <w:r w:rsidR="00546698">
        <w:t> </w:t>
      </w:r>
      <w:r>
        <w:t>biometan</w:t>
      </w:r>
      <w:r w:rsidRPr="005A53D8">
        <w:t>u nulové.</w:t>
      </w:r>
    </w:p>
    <w:p w14:paraId="0324A154" w14:textId="77777777" w:rsidR="00C95FCA" w:rsidRDefault="00C95FCA" w:rsidP="00C95FCA">
      <w:pPr>
        <w:pStyle w:val="Titulek"/>
        <w:keepNext/>
      </w:pPr>
      <w:bookmarkStart w:id="284" w:name="_Toc34295868"/>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9</w:t>
      </w:r>
      <w:r w:rsidR="001614BC">
        <w:rPr>
          <w:noProof/>
        </w:rPr>
        <w:fldChar w:fldCharType="end"/>
      </w:r>
      <w:r w:rsidRPr="00C95FCA">
        <w:t xml:space="preserve"> </w:t>
      </w:r>
      <w:r w:rsidRPr="008C54E3">
        <w:t>Stanovení úspory emisí skleníkových plynů během úplného životního cyklu (W-t-W) biopaliva</w:t>
      </w:r>
      <w:bookmarkEnd w:id="284"/>
    </w:p>
    <w:tbl>
      <w:tblPr>
        <w:tblW w:w="90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236"/>
        <w:gridCol w:w="2835"/>
      </w:tblGrid>
      <w:tr w:rsidR="001B4719" w14:paraId="7CB779ED" w14:textId="77777777" w:rsidTr="000050AA">
        <w:tc>
          <w:tcPr>
            <w:tcW w:w="6236" w:type="dxa"/>
            <w:tcBorders>
              <w:top w:val="single" w:sz="12" w:space="0" w:color="auto"/>
              <w:bottom w:val="single" w:sz="12" w:space="0" w:color="auto"/>
              <w:right w:val="single" w:sz="12" w:space="0" w:color="auto"/>
            </w:tcBorders>
            <w:shd w:val="clear" w:color="auto" w:fill="2196FF" w:themeFill="text2" w:themeFillTint="99"/>
          </w:tcPr>
          <w:p w14:paraId="2F4DC532" w14:textId="77777777" w:rsidR="001B4719" w:rsidRPr="00685433" w:rsidRDefault="001B4719" w:rsidP="000050AA">
            <w:pPr>
              <w:pStyle w:val="Zhlavtabulky"/>
              <w:jc w:val="both"/>
              <w:rPr>
                <w:color w:val="FFFFFF" w:themeColor="background1"/>
              </w:rPr>
            </w:pPr>
          </w:p>
        </w:tc>
        <w:tc>
          <w:tcPr>
            <w:tcW w:w="2835"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5592D30D" w14:textId="77777777" w:rsidR="001B4719" w:rsidRPr="00685433" w:rsidRDefault="001B4719" w:rsidP="00872FC3">
            <w:pPr>
              <w:jc w:val="center"/>
              <w:rPr>
                <w:b/>
                <w:color w:val="FFFFFF" w:themeColor="background1"/>
              </w:rPr>
            </w:pPr>
            <w:r w:rsidRPr="0017298D">
              <w:rPr>
                <w:b/>
                <w:color w:val="FFFFFF" w:themeColor="background1"/>
              </w:rPr>
              <w:t>gCO</w:t>
            </w:r>
            <w:r w:rsidRPr="0017298D">
              <w:rPr>
                <w:b/>
                <w:color w:val="FFFFFF" w:themeColor="background1"/>
                <w:vertAlign w:val="subscript"/>
              </w:rPr>
              <w:t>2</w:t>
            </w:r>
            <w:r w:rsidRPr="0017298D">
              <w:rPr>
                <w:b/>
                <w:color w:val="FFFFFF" w:themeColor="background1"/>
              </w:rPr>
              <w:t>/MJ</w:t>
            </w:r>
          </w:p>
        </w:tc>
      </w:tr>
      <w:tr w:rsidR="001B4719" w14:paraId="30147E85" w14:textId="77777777" w:rsidTr="000050AA">
        <w:tc>
          <w:tcPr>
            <w:tcW w:w="6236" w:type="dxa"/>
            <w:tcBorders>
              <w:top w:val="single" w:sz="12" w:space="0" w:color="auto"/>
              <w:right w:val="single" w:sz="12" w:space="0" w:color="auto"/>
            </w:tcBorders>
            <w:vAlign w:val="center"/>
          </w:tcPr>
          <w:p w14:paraId="25CD81FE" w14:textId="77777777" w:rsidR="001B4719" w:rsidRPr="00454F3F" w:rsidRDefault="001B4719" w:rsidP="000050AA">
            <w:pPr>
              <w:jc w:val="both"/>
            </w:pPr>
            <w:r w:rsidRPr="00454F3F">
              <w:t>Zemní plyn, směs EU – stlačený (CNG)</w:t>
            </w:r>
          </w:p>
        </w:tc>
        <w:tc>
          <w:tcPr>
            <w:tcW w:w="2835" w:type="dxa"/>
            <w:tcBorders>
              <w:top w:val="single" w:sz="12" w:space="0" w:color="auto"/>
              <w:left w:val="single" w:sz="12" w:space="0" w:color="auto"/>
              <w:right w:val="single" w:sz="12" w:space="0" w:color="auto"/>
            </w:tcBorders>
            <w:vAlign w:val="center"/>
          </w:tcPr>
          <w:p w14:paraId="5800C1B7" w14:textId="77777777" w:rsidR="001B4719" w:rsidRPr="00A57230" w:rsidRDefault="001B4719" w:rsidP="00872FC3">
            <w:pPr>
              <w:jc w:val="center"/>
            </w:pPr>
            <w:r w:rsidRPr="00A57230">
              <w:t>69,3</w:t>
            </w:r>
          </w:p>
        </w:tc>
      </w:tr>
      <w:tr w:rsidR="001B4719" w14:paraId="15F6F5CF" w14:textId="77777777" w:rsidTr="000050AA">
        <w:tc>
          <w:tcPr>
            <w:tcW w:w="6236" w:type="dxa"/>
            <w:tcBorders>
              <w:right w:val="single" w:sz="12" w:space="0" w:color="auto"/>
            </w:tcBorders>
            <w:vAlign w:val="center"/>
          </w:tcPr>
          <w:p w14:paraId="1D468385" w14:textId="77777777" w:rsidR="001B4719" w:rsidRPr="00454F3F" w:rsidRDefault="001B4719" w:rsidP="000050AA">
            <w:pPr>
              <w:jc w:val="both"/>
            </w:pPr>
            <w:r w:rsidRPr="00454F3F">
              <w:t>Zemní plyn, směs EU – zkapalněný (LNG) *</w:t>
            </w:r>
          </w:p>
        </w:tc>
        <w:tc>
          <w:tcPr>
            <w:tcW w:w="2835" w:type="dxa"/>
            <w:tcBorders>
              <w:left w:val="single" w:sz="12" w:space="0" w:color="auto"/>
              <w:right w:val="single" w:sz="12" w:space="0" w:color="auto"/>
            </w:tcBorders>
            <w:vAlign w:val="center"/>
          </w:tcPr>
          <w:p w14:paraId="35303891" w14:textId="77777777" w:rsidR="001B4719" w:rsidRPr="00A57230" w:rsidRDefault="001B4719" w:rsidP="00872FC3">
            <w:pPr>
              <w:jc w:val="center"/>
            </w:pPr>
            <w:r w:rsidRPr="00A57230">
              <w:t>74,5</w:t>
            </w:r>
          </w:p>
        </w:tc>
      </w:tr>
      <w:tr w:rsidR="001B4719" w14:paraId="6689D352" w14:textId="77777777" w:rsidTr="000050AA">
        <w:tc>
          <w:tcPr>
            <w:tcW w:w="6236" w:type="dxa"/>
            <w:tcBorders>
              <w:right w:val="single" w:sz="12" w:space="0" w:color="auto"/>
            </w:tcBorders>
            <w:vAlign w:val="center"/>
          </w:tcPr>
          <w:p w14:paraId="3E40C597" w14:textId="77777777" w:rsidR="001B4719" w:rsidRPr="00454F3F" w:rsidRDefault="001B4719" w:rsidP="00546698">
            <w:pPr>
              <w:jc w:val="both"/>
            </w:pPr>
            <w:r w:rsidRPr="00454F3F">
              <w:t>Bioplyn z</w:t>
            </w:r>
            <w:r w:rsidR="00546698">
              <w:t> </w:t>
            </w:r>
            <w:r w:rsidRPr="00454F3F">
              <w:t>organického komunálního odpadu jako stlačený zemní plyn - (K.O.) **</w:t>
            </w:r>
          </w:p>
        </w:tc>
        <w:tc>
          <w:tcPr>
            <w:tcW w:w="2835" w:type="dxa"/>
            <w:tcBorders>
              <w:left w:val="single" w:sz="12" w:space="0" w:color="auto"/>
              <w:right w:val="single" w:sz="12" w:space="0" w:color="auto"/>
            </w:tcBorders>
            <w:vAlign w:val="center"/>
          </w:tcPr>
          <w:p w14:paraId="55E8FEF5" w14:textId="77777777" w:rsidR="001B4719" w:rsidRPr="00A57230" w:rsidRDefault="001B4719" w:rsidP="00872FC3">
            <w:pPr>
              <w:jc w:val="center"/>
            </w:pPr>
            <w:r w:rsidRPr="00A57230">
              <w:t>23</w:t>
            </w:r>
          </w:p>
        </w:tc>
      </w:tr>
      <w:tr w:rsidR="001B4719" w14:paraId="1FBC744B" w14:textId="77777777" w:rsidTr="000050AA">
        <w:tc>
          <w:tcPr>
            <w:tcW w:w="6236" w:type="dxa"/>
            <w:tcBorders>
              <w:right w:val="single" w:sz="12" w:space="0" w:color="auto"/>
            </w:tcBorders>
            <w:vAlign w:val="center"/>
          </w:tcPr>
          <w:p w14:paraId="507CD438" w14:textId="77777777" w:rsidR="001B4719" w:rsidRDefault="001B4719" w:rsidP="000050AA">
            <w:pPr>
              <w:jc w:val="both"/>
            </w:pPr>
            <w:r w:rsidRPr="00454F3F">
              <w:t>Bioplyn ze suché mrvy jako stlačený zemní plyn – (S.M.) **</w:t>
            </w:r>
          </w:p>
        </w:tc>
        <w:tc>
          <w:tcPr>
            <w:tcW w:w="2835" w:type="dxa"/>
            <w:tcBorders>
              <w:left w:val="single" w:sz="12" w:space="0" w:color="auto"/>
              <w:right w:val="single" w:sz="12" w:space="0" w:color="auto"/>
            </w:tcBorders>
            <w:vAlign w:val="center"/>
          </w:tcPr>
          <w:p w14:paraId="5FE6439B" w14:textId="77777777" w:rsidR="001B4719" w:rsidRDefault="001B4719" w:rsidP="00872FC3">
            <w:pPr>
              <w:jc w:val="center"/>
            </w:pPr>
            <w:r w:rsidRPr="00A57230">
              <w:t>15</w:t>
            </w:r>
          </w:p>
        </w:tc>
      </w:tr>
    </w:tbl>
    <w:p w14:paraId="1BC612B4" w14:textId="77777777" w:rsidR="001B4719" w:rsidRPr="0050685D" w:rsidRDefault="001B4719" w:rsidP="001B4719">
      <w:pPr>
        <w:jc w:val="both"/>
      </w:pPr>
      <w:r w:rsidRPr="0050685D">
        <w:t>*</w:t>
      </w:r>
      <w:r>
        <w:t xml:space="preserve"> </w:t>
      </w:r>
      <w:r w:rsidRPr="0050685D">
        <w:t>hodnota je o</w:t>
      </w:r>
      <w:r w:rsidR="00546698">
        <w:t> </w:t>
      </w:r>
      <w:r w:rsidRPr="0050685D">
        <w:t>7,5% vyšší oproti stlačenému ZP (CNG) dána energetickou a</w:t>
      </w:r>
      <w:r w:rsidR="00546698">
        <w:t> </w:t>
      </w:r>
      <w:r w:rsidRPr="0050685D">
        <w:t>emisní náročností na</w:t>
      </w:r>
      <w:r>
        <w:t> </w:t>
      </w:r>
      <w:r w:rsidRPr="0050685D">
        <w:t>zkapalnění</w:t>
      </w:r>
    </w:p>
    <w:p w14:paraId="18C83260" w14:textId="77777777" w:rsidR="001B4719" w:rsidRDefault="001B4719" w:rsidP="001B4719">
      <w:pPr>
        <w:jc w:val="both"/>
      </w:pPr>
      <w:r w:rsidRPr="0050685D">
        <w:t>**</w:t>
      </w:r>
      <w:r>
        <w:t xml:space="preserve"> </w:t>
      </w:r>
      <w:r w:rsidRPr="0050685D">
        <w:t>ve výpočtu použita stejná hodnota pro stlačený i</w:t>
      </w:r>
      <w:r w:rsidR="00546698">
        <w:t> </w:t>
      </w:r>
      <w:r w:rsidRPr="0050685D">
        <w:t>zkapalněný bioplyn (</w:t>
      </w:r>
      <w:r>
        <w:t>biometan</w:t>
      </w:r>
      <w:r w:rsidRPr="0050685D">
        <w:t>)</w:t>
      </w:r>
    </w:p>
    <w:p w14:paraId="53413C14" w14:textId="77777777" w:rsidR="00C95FCA" w:rsidRPr="00C95FCA" w:rsidRDefault="001B4719" w:rsidP="00C95FCA">
      <w:pPr>
        <w:jc w:val="both"/>
        <w:rPr>
          <w:i/>
        </w:rPr>
      </w:pPr>
      <w:r w:rsidRPr="0017298D">
        <w:t xml:space="preserve">Zdroj: Nařízení vlády č. 189/2018 Sb. </w:t>
      </w:r>
      <w:r>
        <w:t>o</w:t>
      </w:r>
      <w:r w:rsidR="00546698">
        <w:t> </w:t>
      </w:r>
      <w:r w:rsidRPr="0017298D">
        <w:t>kritériích udržitelnosti biopaliv a</w:t>
      </w:r>
      <w:r w:rsidR="00546698">
        <w:t> </w:t>
      </w:r>
      <w:r w:rsidRPr="0017298D">
        <w:t>snižování emisí skleníkových plynů z</w:t>
      </w:r>
      <w:r w:rsidR="00546698">
        <w:t> </w:t>
      </w:r>
      <w:r w:rsidRPr="0017298D">
        <w:t>pohonných hmot</w:t>
      </w:r>
    </w:p>
    <w:p w14:paraId="08AAB5BE" w14:textId="77777777" w:rsidR="00C95FCA" w:rsidRDefault="00C95FCA" w:rsidP="00C95FCA">
      <w:pPr>
        <w:pStyle w:val="Titulek"/>
        <w:keepNext/>
        <w:jc w:val="both"/>
      </w:pPr>
      <w:bookmarkStart w:id="285" w:name="_Toc25230417"/>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10</w:t>
      </w:r>
      <w:r w:rsidR="001614BC">
        <w:rPr>
          <w:noProof/>
        </w:rPr>
        <w:fldChar w:fldCharType="end"/>
      </w:r>
      <w:r w:rsidRPr="00C95FCA">
        <w:t xml:space="preserve"> </w:t>
      </w:r>
      <w:r>
        <w:t>Graf ú</w:t>
      </w:r>
      <w:r w:rsidRPr="007F57CD">
        <w:t>spor emisí CO</w:t>
      </w:r>
      <w:r w:rsidRPr="009E1B2D">
        <w:rPr>
          <w:vertAlign w:val="subscript"/>
        </w:rPr>
        <w:t>2</w:t>
      </w:r>
      <w:r w:rsidRPr="007F57CD">
        <w:t xml:space="preserve"> (t) v</w:t>
      </w:r>
      <w:r w:rsidR="00546698">
        <w:t> </w:t>
      </w:r>
      <w:r w:rsidRPr="007F57CD">
        <w:t xml:space="preserve">dopravě náhradou zemního plynu </w:t>
      </w:r>
      <w:r>
        <w:t>biometan</w:t>
      </w:r>
      <w:r w:rsidRPr="007F57CD">
        <w:t>em V</w:t>
      </w:r>
      <w:r w:rsidR="00546698">
        <w:t> </w:t>
      </w:r>
      <w:r>
        <w:t>–</w:t>
      </w:r>
      <w:r w:rsidRPr="007F57CD">
        <w:t xml:space="preserve"> PA</w:t>
      </w:r>
      <w:bookmarkEnd w:id="285"/>
    </w:p>
    <w:p w14:paraId="180AF1C6" w14:textId="77777777" w:rsidR="001B4719" w:rsidRPr="0050685D" w:rsidRDefault="001B4719" w:rsidP="001B4719">
      <w:pPr>
        <w:spacing w:after="0"/>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6AE1B780" wp14:editId="70499F5C">
            <wp:extent cx="5760000" cy="2736000"/>
            <wp:effectExtent l="0" t="0" r="12700" b="26670"/>
            <wp:docPr id="54" name="Graf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6E9F1CC" w14:textId="77777777" w:rsidR="001B4719" w:rsidRDefault="001B4719" w:rsidP="00C95FCA">
      <w:pPr>
        <w:jc w:val="both"/>
      </w:pPr>
      <w:r w:rsidRPr="0050685D">
        <w:t>Zdroj:</w:t>
      </w:r>
      <w:r>
        <w:t xml:space="preserve"> </w:t>
      </w:r>
      <w:r w:rsidRPr="0050685D">
        <w:t>ČPS</w:t>
      </w:r>
    </w:p>
    <w:p w14:paraId="07EE1A25" w14:textId="77777777" w:rsidR="00C95FCA" w:rsidRPr="00C95FCA" w:rsidRDefault="00C95FCA" w:rsidP="00C95FCA"/>
    <w:p w14:paraId="546DBACF" w14:textId="77777777" w:rsidR="00C95FCA" w:rsidRDefault="00C95FCA" w:rsidP="00C95FCA">
      <w:pPr>
        <w:pStyle w:val="Titulek"/>
        <w:keepNext/>
        <w:jc w:val="both"/>
      </w:pPr>
      <w:bookmarkStart w:id="286" w:name="_Toc25230418"/>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11</w:t>
      </w:r>
      <w:r w:rsidR="001614BC">
        <w:rPr>
          <w:noProof/>
        </w:rPr>
        <w:fldChar w:fldCharType="end"/>
      </w:r>
      <w:r w:rsidRPr="00C95FCA">
        <w:t xml:space="preserve"> </w:t>
      </w:r>
      <w:r>
        <w:t xml:space="preserve">Graf </w:t>
      </w:r>
      <w:r>
        <w:rPr>
          <w:noProof/>
        </w:rPr>
        <w:t>ú</w:t>
      </w:r>
      <w:r w:rsidRPr="007F57CD">
        <w:t>spor emisí CO</w:t>
      </w:r>
      <w:r w:rsidRPr="009E1B2D">
        <w:rPr>
          <w:vertAlign w:val="subscript"/>
        </w:rPr>
        <w:t>2</w:t>
      </w:r>
      <w:r w:rsidRPr="007F57CD">
        <w:t xml:space="preserve"> (t) v</w:t>
      </w:r>
      <w:r w:rsidR="00546698">
        <w:t> </w:t>
      </w:r>
      <w:r w:rsidRPr="007F57CD">
        <w:t xml:space="preserve">dopravě náhradou zemního plynu </w:t>
      </w:r>
      <w:r>
        <w:t>biometan</w:t>
      </w:r>
      <w:r w:rsidRPr="007F57CD">
        <w:t>em V</w:t>
      </w:r>
      <w:r w:rsidR="00546698">
        <w:t> </w:t>
      </w:r>
      <w:r>
        <w:t>–</w:t>
      </w:r>
      <w:r w:rsidRPr="007F57CD">
        <w:t xml:space="preserve"> BAU</w:t>
      </w:r>
      <w:bookmarkEnd w:id="286"/>
    </w:p>
    <w:p w14:paraId="10A467FA" w14:textId="77777777" w:rsidR="001B4719" w:rsidRPr="0050685D" w:rsidRDefault="001B4719" w:rsidP="001B4719">
      <w:pPr>
        <w:spacing w:after="0"/>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537381FC" wp14:editId="114E7A3D">
            <wp:extent cx="5765414" cy="2743200"/>
            <wp:effectExtent l="0" t="0" r="26035" b="19050"/>
            <wp:docPr id="55" name="Graf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E358DF5" w14:textId="77777777" w:rsidR="00C95FCA" w:rsidRDefault="001B4719" w:rsidP="00C95FCA">
      <w:pPr>
        <w:jc w:val="both"/>
      </w:pPr>
      <w:r w:rsidRPr="0050685D">
        <w:t>Zdroj:</w:t>
      </w:r>
      <w:r>
        <w:t xml:space="preserve"> </w:t>
      </w:r>
      <w:r w:rsidRPr="0050685D">
        <w:t>ČPS</w:t>
      </w:r>
    </w:p>
    <w:p w14:paraId="3793A2F5" w14:textId="77777777" w:rsidR="00C95FCA" w:rsidRPr="00C95FCA" w:rsidRDefault="00C95FCA" w:rsidP="00C95FCA">
      <w:pPr>
        <w:jc w:val="both"/>
      </w:pPr>
    </w:p>
    <w:p w14:paraId="35DF5843" w14:textId="77777777" w:rsidR="00C95FCA" w:rsidRDefault="00C95FCA" w:rsidP="00C95FCA">
      <w:pPr>
        <w:pStyle w:val="Titulek"/>
        <w:keepNext/>
        <w:jc w:val="both"/>
      </w:pPr>
      <w:bookmarkStart w:id="287" w:name="_Toc25230419"/>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12</w:t>
      </w:r>
      <w:r w:rsidR="001614BC">
        <w:rPr>
          <w:noProof/>
        </w:rPr>
        <w:fldChar w:fldCharType="end"/>
      </w:r>
      <w:r w:rsidRPr="00C95FCA">
        <w:t xml:space="preserve"> </w:t>
      </w:r>
      <w:r>
        <w:t xml:space="preserve">Graf </w:t>
      </w:r>
      <w:r>
        <w:rPr>
          <w:noProof/>
        </w:rPr>
        <w:t>ú</w:t>
      </w:r>
      <w:r w:rsidRPr="009E1B2D">
        <w:t>spora emisí CO</w:t>
      </w:r>
      <w:r w:rsidRPr="009E1B2D">
        <w:rPr>
          <w:vertAlign w:val="subscript"/>
        </w:rPr>
        <w:t>2</w:t>
      </w:r>
      <w:r w:rsidRPr="009E1B2D">
        <w:t xml:space="preserve"> (t) v</w:t>
      </w:r>
      <w:r w:rsidR="00546698">
        <w:t> </w:t>
      </w:r>
      <w:r w:rsidRPr="009E1B2D">
        <w:t xml:space="preserve">dopravě náhradou zemního plynu </w:t>
      </w:r>
      <w:r>
        <w:t>biometan</w:t>
      </w:r>
      <w:r w:rsidRPr="009E1B2D">
        <w:t>em V</w:t>
      </w:r>
      <w:r w:rsidR="00546698">
        <w:t> </w:t>
      </w:r>
      <w:r>
        <w:t>–</w:t>
      </w:r>
      <w:r w:rsidRPr="009E1B2D">
        <w:t xml:space="preserve"> BP</w:t>
      </w:r>
      <w:bookmarkEnd w:id="287"/>
    </w:p>
    <w:p w14:paraId="5449D236" w14:textId="77777777" w:rsidR="001B4719" w:rsidRPr="0050685D" w:rsidRDefault="001B4719" w:rsidP="001B4719">
      <w:pPr>
        <w:spacing w:after="0"/>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0AB439E6" wp14:editId="3F1DE7D3">
            <wp:extent cx="5768521" cy="2743200"/>
            <wp:effectExtent l="0" t="0" r="22860" b="19050"/>
            <wp:docPr id="59" name="Graf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F125396" w14:textId="77777777" w:rsidR="001B4719" w:rsidRPr="0050685D" w:rsidRDefault="001B4719" w:rsidP="001B4719">
      <w:pPr>
        <w:jc w:val="both"/>
      </w:pPr>
      <w:r w:rsidRPr="0050685D">
        <w:t>Zdroj:</w:t>
      </w:r>
      <w:r>
        <w:t xml:space="preserve"> </w:t>
      </w:r>
      <w:r w:rsidRPr="0050685D">
        <w:t>ČPS</w:t>
      </w:r>
    </w:p>
    <w:p w14:paraId="6D1D5F88" w14:textId="77777777" w:rsidR="001B4719" w:rsidRDefault="001B4719" w:rsidP="001B4719">
      <w:pPr>
        <w:spacing w:before="0" w:after="0"/>
        <w:jc w:val="both"/>
        <w:rPr>
          <w:rFonts w:cs="Arial"/>
          <w:b/>
          <w:bCs/>
          <w:szCs w:val="26"/>
        </w:rPr>
      </w:pPr>
      <w:bookmarkStart w:id="288" w:name="_Toc18497254"/>
      <w:bookmarkStart w:id="289" w:name="_Toc18497255"/>
      <w:bookmarkStart w:id="290" w:name="_Toc18497256"/>
      <w:bookmarkStart w:id="291" w:name="_Toc18497257"/>
      <w:bookmarkStart w:id="292" w:name="_Toc18497258"/>
      <w:bookmarkStart w:id="293" w:name="_Toc18497259"/>
      <w:bookmarkStart w:id="294" w:name="_Toc18497261"/>
      <w:bookmarkStart w:id="295" w:name="_Toc18497262"/>
      <w:bookmarkStart w:id="296" w:name="_Toc18497268"/>
      <w:bookmarkStart w:id="297" w:name="_Toc18497269"/>
      <w:bookmarkStart w:id="298" w:name="_Toc18497275"/>
      <w:bookmarkStart w:id="299" w:name="_Toc18497276"/>
      <w:bookmarkStart w:id="300" w:name="_Toc18497282"/>
      <w:bookmarkStart w:id="301" w:name="_Toc18497283"/>
      <w:bookmarkStart w:id="302" w:name="_Toc18497289"/>
      <w:bookmarkStart w:id="303" w:name="_Toc18497290"/>
      <w:bookmarkStart w:id="304" w:name="_Toc18497296"/>
      <w:bookmarkStart w:id="305" w:name="_Toc18497297"/>
      <w:bookmarkStart w:id="306" w:name="_Toc18497301"/>
      <w:bookmarkStart w:id="307" w:name="_Toc18497304"/>
      <w:bookmarkStart w:id="308" w:name="_Toc18497310"/>
      <w:bookmarkStart w:id="309" w:name="_Toc18497311"/>
      <w:bookmarkStart w:id="310" w:name="_Toc18497317"/>
      <w:bookmarkStart w:id="311" w:name="_Toc18497318"/>
      <w:bookmarkStart w:id="312" w:name="_Toc18497324"/>
      <w:bookmarkStart w:id="313" w:name="_Toc18497325"/>
      <w:bookmarkStart w:id="314" w:name="_Toc18497331"/>
      <w:bookmarkStart w:id="315" w:name="_Toc18497332"/>
      <w:bookmarkStart w:id="316" w:name="_Toc18497338"/>
      <w:bookmarkStart w:id="317" w:name="_Toc18497339"/>
      <w:bookmarkStart w:id="318" w:name="_Toc18497343"/>
      <w:bookmarkStart w:id="319" w:name="_Toc18497346"/>
      <w:bookmarkStart w:id="320" w:name="_Toc18497352"/>
      <w:bookmarkStart w:id="321" w:name="_Toc18497353"/>
      <w:bookmarkStart w:id="322" w:name="_Toc18497359"/>
      <w:bookmarkStart w:id="323" w:name="_Toc18497360"/>
      <w:bookmarkStart w:id="324" w:name="_Toc18497366"/>
      <w:bookmarkStart w:id="325" w:name="_Toc18497367"/>
      <w:bookmarkStart w:id="326" w:name="_Toc18497373"/>
      <w:bookmarkStart w:id="327" w:name="_Toc18497374"/>
      <w:bookmarkStart w:id="328" w:name="_Toc18497380"/>
      <w:bookmarkStart w:id="329" w:name="_Toc18497381"/>
      <w:bookmarkStart w:id="330" w:name="_Toc18497385"/>
      <w:bookmarkStart w:id="331" w:name="_Toc13685875"/>
      <w:bookmarkStart w:id="332" w:name="_Toc13753768"/>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br w:type="page"/>
      </w:r>
    </w:p>
    <w:p w14:paraId="1AE6CD89" w14:textId="77777777" w:rsidR="001B4719" w:rsidRPr="0050685D" w:rsidRDefault="001B4719" w:rsidP="001B4719">
      <w:pPr>
        <w:pStyle w:val="Nadpis3"/>
        <w:numPr>
          <w:ilvl w:val="2"/>
          <w:numId w:val="9"/>
        </w:numPr>
        <w:tabs>
          <w:tab w:val="left" w:pos="851"/>
          <w:tab w:val="num" w:pos="2411"/>
        </w:tabs>
        <w:ind w:left="284" w:firstLine="0"/>
        <w:jc w:val="both"/>
      </w:pPr>
      <w:bookmarkStart w:id="333" w:name="_Toc19792334"/>
      <w:bookmarkStart w:id="334" w:name="_Toc25084478"/>
      <w:bookmarkStart w:id="335" w:name="_Toc25136805"/>
      <w:bookmarkStart w:id="336" w:name="_Toc34295930"/>
      <w:r w:rsidRPr="0050685D">
        <w:lastRenderedPageBreak/>
        <w:t>Potenciál užití zemního plynu v</w:t>
      </w:r>
      <w:r w:rsidR="00546698">
        <w:t> </w:t>
      </w:r>
      <w:r w:rsidRPr="0050685D">
        <w:t>dalších druzích dopravy</w:t>
      </w:r>
      <w:bookmarkEnd w:id="331"/>
      <w:bookmarkEnd w:id="332"/>
      <w:bookmarkEnd w:id="333"/>
      <w:bookmarkEnd w:id="334"/>
      <w:bookmarkEnd w:id="335"/>
      <w:bookmarkEnd w:id="336"/>
    </w:p>
    <w:p w14:paraId="2367AE41" w14:textId="77777777" w:rsidR="001B4719" w:rsidRDefault="001B4719" w:rsidP="001B4719">
      <w:pPr>
        <w:jc w:val="both"/>
        <w:rPr>
          <w:b/>
        </w:rPr>
      </w:pPr>
      <w:r w:rsidRPr="001E708F">
        <w:rPr>
          <w:b/>
        </w:rPr>
        <w:t>Využití LNG v</w:t>
      </w:r>
      <w:r w:rsidR="00546698">
        <w:rPr>
          <w:b/>
        </w:rPr>
        <w:t> </w:t>
      </w:r>
      <w:r w:rsidRPr="001E708F">
        <w:rPr>
          <w:b/>
        </w:rPr>
        <w:t xml:space="preserve">železniční dopravě </w:t>
      </w:r>
    </w:p>
    <w:p w14:paraId="5B94B0E7" w14:textId="77777777" w:rsidR="001B4719" w:rsidRPr="0050685D" w:rsidRDefault="001B4719" w:rsidP="001B4719">
      <w:pPr>
        <w:jc w:val="both"/>
      </w:pPr>
      <w:r w:rsidRPr="0050685D">
        <w:t>Aplikace v</w:t>
      </w:r>
      <w:r w:rsidR="00546698">
        <w:t> </w:t>
      </w:r>
      <w:r w:rsidRPr="0050685D">
        <w:t>železniční dopravě</w:t>
      </w:r>
      <w:r w:rsidRPr="0050685D">
        <w:rPr>
          <w:rStyle w:val="Znakapoznpodarou"/>
          <w:rFonts w:asciiTheme="majorHAnsi" w:hAnsiTheme="majorHAnsi" w:cstheme="minorHAnsi"/>
        </w:rPr>
        <w:footnoteReference w:id="11"/>
      </w:r>
      <w:r w:rsidRPr="0050685D">
        <w:t xml:space="preserve"> je analogická jako u</w:t>
      </w:r>
      <w:r w:rsidR="00546698">
        <w:t> </w:t>
      </w:r>
      <w:r w:rsidRPr="0050685D">
        <w:t>silničních vozidel. Rozvoj LNG jako paliva lokomotiv se očekává ve třetí dekádě 21. století. Pro Českou republiku je tato výzva aktuální z</w:t>
      </w:r>
      <w:r w:rsidR="00546698">
        <w:t> </w:t>
      </w:r>
      <w:r w:rsidRPr="0050685D">
        <w:t>důvodů tuzemské výroby lokomotiv a</w:t>
      </w:r>
      <w:r w:rsidR="00546698">
        <w:t> </w:t>
      </w:r>
      <w:r w:rsidRPr="0050685D">
        <w:t xml:space="preserve">motorových vlaků. </w:t>
      </w:r>
    </w:p>
    <w:p w14:paraId="72537E15" w14:textId="77777777" w:rsidR="001B4719" w:rsidRPr="0050685D" w:rsidRDefault="001B4719" w:rsidP="001B4719">
      <w:pPr>
        <w:jc w:val="both"/>
      </w:pPr>
      <w:r w:rsidRPr="0050685D">
        <w:t>Železniční doprava má měrnou spotřebu na tunu nákladu pouze 27 % oproti silniční dopravě. Využití železniční dopravy je tedy perspektivní z</w:t>
      </w:r>
      <w:r w:rsidR="00546698">
        <w:t> </w:t>
      </w:r>
      <w:r w:rsidRPr="0050685D">
        <w:t>hlediska snížení emisí CO</w:t>
      </w:r>
      <w:r w:rsidRPr="0050685D">
        <w:rPr>
          <w:vertAlign w:val="subscript"/>
        </w:rPr>
        <w:t>2</w:t>
      </w:r>
      <w:r w:rsidRPr="0050685D">
        <w:t xml:space="preserve"> i</w:t>
      </w:r>
      <w:r w:rsidR="00546698">
        <w:t> </w:t>
      </w:r>
      <w:r w:rsidRPr="0050685D">
        <w:t>dalších zdravotně škodlivých emisí sama o</w:t>
      </w:r>
      <w:r w:rsidR="00546698">
        <w:t> </w:t>
      </w:r>
      <w:r w:rsidRPr="0050685D">
        <w:t>sobě. Tento úsporný efekt se dále znásobí převodem beztrolejové železnice na LNG. Pro oblast výkonů lokomotiv řádu MW jiná praktická alternativa snižování emisí i</w:t>
      </w:r>
      <w:r w:rsidR="00546698">
        <w:t> </w:t>
      </w:r>
      <w:r w:rsidRPr="0050685D">
        <w:t>nákladů zatím neexistuje. Prvořadá pozornost by měla být věnována posunovacím lokomotivám pro jejich velkou spotřebu paliva a</w:t>
      </w:r>
      <w:r w:rsidR="00546698">
        <w:t> </w:t>
      </w:r>
      <w:r w:rsidRPr="0050685D">
        <w:t>zároveň proto, že právě posunovací lokomotivy obvykle pracuji v</w:t>
      </w:r>
      <w:r w:rsidR="00546698">
        <w:t> </w:t>
      </w:r>
      <w:r w:rsidRPr="0050685D">
        <w:t>intravilánu měst, a</w:t>
      </w:r>
      <w:r w:rsidR="00546698">
        <w:t> </w:t>
      </w:r>
      <w:r w:rsidRPr="0050685D">
        <w:t>tedy mají významně negativní vliv na znečištění ovzduší ve</w:t>
      </w:r>
      <w:r>
        <w:t> </w:t>
      </w:r>
      <w:r w:rsidRPr="0050685D">
        <w:t xml:space="preserve">městech. </w:t>
      </w:r>
    </w:p>
    <w:p w14:paraId="0818E89D" w14:textId="77777777" w:rsidR="001B4719" w:rsidRPr="001E708F" w:rsidRDefault="001B4719" w:rsidP="001B4719">
      <w:pPr>
        <w:jc w:val="both"/>
        <w:rPr>
          <w:b/>
        </w:rPr>
      </w:pPr>
      <w:r w:rsidRPr="001E708F">
        <w:rPr>
          <w:b/>
        </w:rPr>
        <w:t>Využití LNG v</w:t>
      </w:r>
      <w:r>
        <w:rPr>
          <w:b/>
        </w:rPr>
        <w:t xml:space="preserve">e vnitrozemské vodní </w:t>
      </w:r>
      <w:r w:rsidRPr="001E708F">
        <w:rPr>
          <w:b/>
        </w:rPr>
        <w:t xml:space="preserve">dopravě </w:t>
      </w:r>
    </w:p>
    <w:p w14:paraId="3EA0819D" w14:textId="77777777" w:rsidR="001B4719" w:rsidRPr="0050685D" w:rsidRDefault="001B4719" w:rsidP="001B4719">
      <w:pPr>
        <w:jc w:val="both"/>
      </w:pPr>
      <w:r w:rsidRPr="0050685D">
        <w:t>V souvislosti s</w:t>
      </w:r>
      <w:r w:rsidR="00546698">
        <w:t> </w:t>
      </w:r>
      <w:r>
        <w:t xml:space="preserve">vnitrozemskou vodní </w:t>
      </w:r>
      <w:r w:rsidRPr="0050685D">
        <w:t>dopravou lze rozlišit dvě oblasti aplikace:</w:t>
      </w:r>
    </w:p>
    <w:p w14:paraId="2E992ED1" w14:textId="77777777" w:rsidR="001B4719" w:rsidRPr="0050685D" w:rsidRDefault="001B4719" w:rsidP="001B4719">
      <w:pPr>
        <w:pStyle w:val="Odrkyabc"/>
        <w:numPr>
          <w:ilvl w:val="0"/>
          <w:numId w:val="27"/>
        </w:numPr>
        <w:jc w:val="both"/>
      </w:pPr>
      <w:r w:rsidRPr="0050685D">
        <w:t>doprava LNG z</w:t>
      </w:r>
      <w:r w:rsidR="00546698">
        <w:t> </w:t>
      </w:r>
      <w:r w:rsidRPr="0050685D">
        <w:t>námořních terminálů do vnitrozemských lokací do meziskladů ke zplyňování do potrubí, vytváření rezerv a</w:t>
      </w:r>
      <w:r w:rsidR="00546698">
        <w:t> </w:t>
      </w:r>
      <w:r w:rsidRPr="0050685D">
        <w:t>k</w:t>
      </w:r>
      <w:r>
        <w:t> </w:t>
      </w:r>
      <w:r w:rsidRPr="0050685D">
        <w:t>rozvozu do regazifikačních stanic pro zákazníky mimo potrubí a</w:t>
      </w:r>
      <w:r w:rsidR="00546698">
        <w:t> </w:t>
      </w:r>
      <w:r w:rsidRPr="0050685D">
        <w:t>do plnicích stanic LNG pro vozidla. Pro tuto strategii existuje výzva pracovní skupiny v</w:t>
      </w:r>
      <w:r w:rsidR="00546698">
        <w:t> </w:t>
      </w:r>
      <w:r w:rsidRPr="0050685D">
        <w:t>rámci EK z</w:t>
      </w:r>
      <w:r w:rsidR="00546698">
        <w:t> </w:t>
      </w:r>
      <w:r w:rsidRPr="0050685D">
        <w:t>roku 2013. Na základě toho vznikla iniciativa Danube LNG, spočívající v</w:t>
      </w:r>
      <w:r w:rsidR="00546698">
        <w:t> </w:t>
      </w:r>
      <w:r w:rsidRPr="0050685D">
        <w:t>plnění LNG v</w:t>
      </w:r>
      <w:r w:rsidR="00546698">
        <w:t> </w:t>
      </w:r>
      <w:r w:rsidRPr="0050685D">
        <w:t>Burgasu z</w:t>
      </w:r>
      <w:r w:rsidR="00546698">
        <w:t> </w:t>
      </w:r>
      <w:r w:rsidRPr="0050685D">
        <w:t>námořních lodí do plavidel vnitrozemské plavby a</w:t>
      </w:r>
      <w:r w:rsidR="00546698">
        <w:t> </w:t>
      </w:r>
      <w:r w:rsidRPr="0050685D">
        <w:t>doprava do meziskladů ve všech podunajských zemích až po Německo. Obdobně Rhine LNG s</w:t>
      </w:r>
      <w:r w:rsidR="00546698">
        <w:t> </w:t>
      </w:r>
      <w:r w:rsidRPr="0050685D">
        <w:t>možností propojení obou systémů pro vyšší flexibilitu.</w:t>
      </w:r>
    </w:p>
    <w:p w14:paraId="45A5C60B" w14:textId="77777777" w:rsidR="001B4719" w:rsidRPr="0050685D" w:rsidRDefault="001B4719" w:rsidP="001B4719">
      <w:pPr>
        <w:pStyle w:val="odrkaa"/>
        <w:jc w:val="both"/>
        <w:rPr>
          <w:sz w:val="24"/>
        </w:rPr>
      </w:pPr>
      <w:r w:rsidRPr="0050685D">
        <w:t>pohon lodí v</w:t>
      </w:r>
      <w:r w:rsidR="00546698">
        <w:t> </w:t>
      </w:r>
      <w:r w:rsidRPr="0050685D">
        <w:t>oblasti vnitrozemské vodní dopravy na LNG. Velikost lodních motorů činí konverzi na LNG relativně výhodnou. Poměrná úspora emisí CO</w:t>
      </w:r>
      <w:r w:rsidRPr="0050685D">
        <w:rPr>
          <w:vertAlign w:val="subscript"/>
        </w:rPr>
        <w:t>2</w:t>
      </w:r>
      <w:r w:rsidRPr="0050685D">
        <w:t xml:space="preserve"> je obdobná jako u</w:t>
      </w:r>
      <w:r w:rsidR="00546698">
        <w:t> </w:t>
      </w:r>
      <w:r w:rsidRPr="0050685D">
        <w:t>ostatních druhů dopravy. Snížení zdraví škodlivých emisí bude mít příznivý vliv v</w:t>
      </w:r>
      <w:r w:rsidR="00546698">
        <w:t> </w:t>
      </w:r>
      <w:r w:rsidRPr="0050685D">
        <w:t>oblastech obvykle hustého osídlení v</w:t>
      </w:r>
      <w:r w:rsidR="00546698">
        <w:t> </w:t>
      </w:r>
      <w:r w:rsidRPr="0050685D">
        <w:t>okolí vnitrozemských vodních cest, jakož i</w:t>
      </w:r>
      <w:r w:rsidR="00546698">
        <w:t> </w:t>
      </w:r>
      <w:r w:rsidRPr="0050685D">
        <w:t>snížení znečištění ovzduší při</w:t>
      </w:r>
      <w:r>
        <w:t> </w:t>
      </w:r>
      <w:r w:rsidRPr="0050685D">
        <w:t>inverzích v</w:t>
      </w:r>
      <w:r w:rsidR="00546698">
        <w:t> </w:t>
      </w:r>
      <w:r w:rsidRPr="0050685D">
        <w:t xml:space="preserve">říčních údolích. </w:t>
      </w:r>
    </w:p>
    <w:p w14:paraId="03AB5DBB" w14:textId="77777777" w:rsidR="001B4719" w:rsidRPr="0050685D" w:rsidRDefault="001B4719" w:rsidP="001B4719">
      <w:pPr>
        <w:jc w:val="both"/>
      </w:pPr>
      <w:r w:rsidRPr="0050685D">
        <w:t>Problematika zavádění LNG ve vnitrozemské vodní dopravě je zahrnuta do působnosti směrnice 2014/94/EU o</w:t>
      </w:r>
      <w:r w:rsidR="00546698">
        <w:t> </w:t>
      </w:r>
      <w:r w:rsidRPr="0050685D">
        <w:t>zavádění infrastruktury pro alternativní paliva, přičemž z</w:t>
      </w:r>
      <w:r w:rsidR="00546698">
        <w:t> </w:t>
      </w:r>
      <w:r w:rsidRPr="0050685D">
        <w:t>článku 6 odst. 3, této směrnice vyplývá, že členské státy mají ve svých vnitrostátních rámcích politiky určit vnitrozemské přístavy, které mají poskytovat přístup ke LNG plnicím stanicím a</w:t>
      </w:r>
      <w:r w:rsidR="00546698">
        <w:t> </w:t>
      </w:r>
      <w:r w:rsidRPr="0050685D">
        <w:t>přitom zvážit skutečné potřeby trhu.</w:t>
      </w:r>
    </w:p>
    <w:p w14:paraId="60377838" w14:textId="77777777" w:rsidR="001B4719" w:rsidRPr="0050685D" w:rsidRDefault="001B4719" w:rsidP="001B4719">
      <w:pPr>
        <w:jc w:val="both"/>
      </w:pPr>
      <w:r w:rsidRPr="0050685D">
        <w:t>V souvislosti s</w:t>
      </w:r>
      <w:r w:rsidR="00546698">
        <w:t> </w:t>
      </w:r>
      <w:r w:rsidRPr="0050685D">
        <w:t>řešením dané problematiky na mezinárodní/evropské úrovni je třeba zmínit iniciativu Masterplan pro zavádění LNG na Rýnu, Mohanu a</w:t>
      </w:r>
      <w:r w:rsidR="00546698">
        <w:t> </w:t>
      </w:r>
      <w:r w:rsidRPr="0050685D">
        <w:t>Dunaji, která započala v</w:t>
      </w:r>
      <w:r w:rsidR="00546698">
        <w:t> </w:t>
      </w:r>
      <w:r w:rsidRPr="0050685D">
        <w:t>roce 2016. Dokument by měl být rozčleněn do 6 základních oblastí a</w:t>
      </w:r>
      <w:r w:rsidR="00546698">
        <w:t> </w:t>
      </w:r>
      <w:r w:rsidRPr="0050685D">
        <w:t>obsáhnout tak vedle jiného analýzu trhu, analýzu regulačního rámce či plán pro pilotní zavádění infrastruktury LNG stanic ve</w:t>
      </w:r>
      <w:r>
        <w:t> </w:t>
      </w:r>
      <w:r w:rsidRPr="0050685D">
        <w:t>vybraných vnitrozemských přístavech.</w:t>
      </w:r>
      <w:r>
        <w:t xml:space="preserve"> </w:t>
      </w:r>
      <w:r w:rsidRPr="0050685D">
        <w:t>Cílem dokumentu je mj. identifikovat potenciál trhu LNG v</w:t>
      </w:r>
      <w:r w:rsidR="00546698">
        <w:t> </w:t>
      </w:r>
      <w:r w:rsidRPr="0050685D">
        <w:t>oblasti vnitrozemské vodní dopravě v</w:t>
      </w:r>
      <w:r w:rsidR="00546698">
        <w:t> </w:t>
      </w:r>
      <w:r w:rsidRPr="0050685D">
        <w:t>rámci dané geografické oblasti, analyzovat náklady a</w:t>
      </w:r>
      <w:r w:rsidR="00546698">
        <w:t> </w:t>
      </w:r>
      <w:r w:rsidRPr="0050685D">
        <w:t>přínosy (úspory) spojené se zaváděním LNG v</w:t>
      </w:r>
      <w:r w:rsidR="00546698">
        <w:t> </w:t>
      </w:r>
      <w:r w:rsidRPr="0050685D">
        <w:t>této oblasti a</w:t>
      </w:r>
      <w:r w:rsidR="00546698">
        <w:t> </w:t>
      </w:r>
      <w:r w:rsidRPr="0050685D">
        <w:t>napomoci vytvoření příslušného funkčního právního rámce EU. Z</w:t>
      </w:r>
      <w:r w:rsidR="00546698">
        <w:t> </w:t>
      </w:r>
      <w:r w:rsidRPr="0050685D">
        <w:t>pohledu ČR mohou být výstupy z</w:t>
      </w:r>
      <w:r w:rsidR="00546698">
        <w:t> </w:t>
      </w:r>
      <w:r w:rsidRPr="0050685D">
        <w:t>tohoto dokumentu určitou inspirací pro další zaměření strategie využití LNG ve vnitrozemské vodní dopravě v</w:t>
      </w:r>
      <w:r w:rsidR="00546698">
        <w:t> </w:t>
      </w:r>
      <w:r w:rsidRPr="0050685D">
        <w:t>ČR.</w:t>
      </w:r>
    </w:p>
    <w:p w14:paraId="4B0BD968" w14:textId="77777777" w:rsidR="001B4719" w:rsidRPr="0050685D" w:rsidRDefault="001B4719" w:rsidP="001B4719">
      <w:pPr>
        <w:jc w:val="both"/>
      </w:pPr>
      <w:r w:rsidRPr="0050685D">
        <w:t xml:space="preserve">NAP CM ve své původní podobě konstatoval, že </w:t>
      </w:r>
      <w:r w:rsidRPr="0050685D">
        <w:rPr>
          <w:noProof/>
        </w:rPr>
        <w:t>pro nejbližší období se nejeví jako efektivní budovat ve veřejných přístavech v</w:t>
      </w:r>
      <w:r w:rsidR="00546698">
        <w:rPr>
          <w:noProof/>
        </w:rPr>
        <w:t> </w:t>
      </w:r>
      <w:r w:rsidRPr="0050685D">
        <w:rPr>
          <w:noProof/>
        </w:rPr>
        <w:t>ČR čerpací stanice pro plavidla využívající LNG jako palivo a</w:t>
      </w:r>
      <w:r w:rsidR="00546698">
        <w:rPr>
          <w:noProof/>
        </w:rPr>
        <w:t> </w:t>
      </w:r>
      <w:r w:rsidRPr="0050685D">
        <w:rPr>
          <w:noProof/>
        </w:rPr>
        <w:t>to z</w:t>
      </w:r>
      <w:r w:rsidR="00546698">
        <w:rPr>
          <w:noProof/>
        </w:rPr>
        <w:t> </w:t>
      </w:r>
      <w:r w:rsidRPr="0050685D">
        <w:rPr>
          <w:noProof/>
        </w:rPr>
        <w:t>důvodu vysokých provozních nákladů pro taková zařízení při současném vědomí neexistence relevantní poptávky v</w:t>
      </w:r>
      <w:r w:rsidR="00546698">
        <w:rPr>
          <w:noProof/>
        </w:rPr>
        <w:t> </w:t>
      </w:r>
      <w:r w:rsidRPr="0050685D">
        <w:rPr>
          <w:noProof/>
        </w:rPr>
        <w:t xml:space="preserve">tomto segmentu trhu. </w:t>
      </w:r>
      <w:r w:rsidRPr="0050685D">
        <w:t>Od roku 2015 se však na tomto poli v</w:t>
      </w:r>
      <w:r w:rsidR="00546698">
        <w:t> </w:t>
      </w:r>
      <w:r w:rsidRPr="0050685D">
        <w:t xml:space="preserve">ČR příliš nezměnilo, což je </w:t>
      </w:r>
      <w:r w:rsidRPr="0050685D">
        <w:lastRenderedPageBreak/>
        <w:t>dáno především stále spíše omezenými plavebními podmínkami splavnosti na Labi a</w:t>
      </w:r>
      <w:r w:rsidR="00546698">
        <w:t> </w:t>
      </w:r>
      <w:r w:rsidRPr="0050685D">
        <w:t>s</w:t>
      </w:r>
      <w:r>
        <w:t> </w:t>
      </w:r>
      <w:r w:rsidRPr="0050685D">
        <w:t>tím související ekonomickou situací provozovatelů vnitrozemské vodní dopravy.</w:t>
      </w:r>
    </w:p>
    <w:p w14:paraId="20A03530" w14:textId="77777777" w:rsidR="001B4719" w:rsidRPr="0050685D" w:rsidRDefault="001B4719" w:rsidP="001B4719">
      <w:pPr>
        <w:jc w:val="both"/>
        <w:rPr>
          <w:noProof/>
        </w:rPr>
      </w:pPr>
      <w:r w:rsidRPr="0050685D">
        <w:t xml:space="preserve">Přes výše uvedené </w:t>
      </w:r>
      <w:r w:rsidRPr="0050685D">
        <w:rPr>
          <w:noProof/>
        </w:rPr>
        <w:t>vnímáme, že je třeba se vypořádat s</w:t>
      </w:r>
      <w:r w:rsidR="00546698">
        <w:rPr>
          <w:noProof/>
        </w:rPr>
        <w:t> </w:t>
      </w:r>
      <w:r w:rsidRPr="0050685D">
        <w:rPr>
          <w:noProof/>
        </w:rPr>
        <w:t>kritikou ze strany Evropské komise na neexistenci cíle ohledně vybavení vnitrozemských přístavů v</w:t>
      </w:r>
      <w:r w:rsidR="00546698">
        <w:rPr>
          <w:noProof/>
        </w:rPr>
        <w:t> </w:t>
      </w:r>
      <w:r w:rsidRPr="0050685D">
        <w:rPr>
          <w:noProof/>
        </w:rPr>
        <w:t>ČR plnicími stanicemi LNG do roku 2030.</w:t>
      </w:r>
      <w:r>
        <w:rPr>
          <w:noProof/>
        </w:rPr>
        <w:t xml:space="preserve"> </w:t>
      </w:r>
      <w:r w:rsidRPr="0050685D">
        <w:rPr>
          <w:noProof/>
        </w:rPr>
        <w:t>S</w:t>
      </w:r>
      <w:r w:rsidR="00546698">
        <w:rPr>
          <w:noProof/>
        </w:rPr>
        <w:t> </w:t>
      </w:r>
      <w:r w:rsidRPr="0050685D">
        <w:rPr>
          <w:noProof/>
        </w:rPr>
        <w:t>ohledem na obecně omezený vývoj na trhu vnitrozemské dopravy v</w:t>
      </w:r>
      <w:r w:rsidR="00546698">
        <w:rPr>
          <w:noProof/>
        </w:rPr>
        <w:t> </w:t>
      </w:r>
      <w:r w:rsidRPr="0050685D">
        <w:rPr>
          <w:noProof/>
        </w:rPr>
        <w:t>ČR v</w:t>
      </w:r>
      <w:r w:rsidR="00546698">
        <w:rPr>
          <w:noProof/>
        </w:rPr>
        <w:t> </w:t>
      </w:r>
      <w:r w:rsidRPr="0050685D">
        <w:rPr>
          <w:noProof/>
        </w:rPr>
        <w:t>posleních letech, s</w:t>
      </w:r>
      <w:r w:rsidR="00546698">
        <w:rPr>
          <w:noProof/>
        </w:rPr>
        <w:t> </w:t>
      </w:r>
      <w:r w:rsidRPr="0050685D">
        <w:rPr>
          <w:noProof/>
        </w:rPr>
        <w:t>ním je spojena celá řada nejistot, však lze v</w:t>
      </w:r>
      <w:r w:rsidR="00546698">
        <w:rPr>
          <w:noProof/>
        </w:rPr>
        <w:t> </w:t>
      </w:r>
      <w:r w:rsidRPr="0050685D">
        <w:rPr>
          <w:noProof/>
        </w:rPr>
        <w:t>tuto chvíli deklarovat jen velmi skromný cíl v</w:t>
      </w:r>
      <w:r w:rsidR="00546698">
        <w:rPr>
          <w:noProof/>
        </w:rPr>
        <w:t> </w:t>
      </w:r>
      <w:r w:rsidRPr="0050685D">
        <w:rPr>
          <w:noProof/>
        </w:rPr>
        <w:t>podobě výstavby 1-2 LNG stanic ve vnitrozemských přístavech, které jsou součástí globální sítě TEN-T. Konkrétní umístění těchto LNG stanic není zatím možné stanovit a</w:t>
      </w:r>
      <w:r w:rsidR="00546698">
        <w:rPr>
          <w:noProof/>
        </w:rPr>
        <w:t> </w:t>
      </w:r>
      <w:r w:rsidRPr="0050685D">
        <w:rPr>
          <w:noProof/>
        </w:rPr>
        <w:t>mělo by být určeno nejpozději v</w:t>
      </w:r>
      <w:r w:rsidR="00546698">
        <w:rPr>
          <w:noProof/>
        </w:rPr>
        <w:t> </w:t>
      </w:r>
      <w:r w:rsidRPr="0050685D">
        <w:rPr>
          <w:noProof/>
        </w:rPr>
        <w:t>roce 2025. Stejně tak je žádoucí, aby aktivity v</w:t>
      </w:r>
      <w:r w:rsidR="00546698">
        <w:rPr>
          <w:noProof/>
        </w:rPr>
        <w:t> </w:t>
      </w:r>
      <w:r w:rsidRPr="0050685D">
        <w:rPr>
          <w:noProof/>
        </w:rPr>
        <w:t>ČR v</w:t>
      </w:r>
      <w:r w:rsidR="00546698">
        <w:rPr>
          <w:noProof/>
        </w:rPr>
        <w:t> </w:t>
      </w:r>
      <w:r w:rsidRPr="0050685D">
        <w:rPr>
          <w:noProof/>
        </w:rPr>
        <w:t>této oblasti byl</w:t>
      </w:r>
      <w:r>
        <w:rPr>
          <w:noProof/>
        </w:rPr>
        <w:t>y</w:t>
      </w:r>
      <w:r w:rsidRPr="0050685D">
        <w:rPr>
          <w:noProof/>
        </w:rPr>
        <w:t xml:space="preserve"> navázány na</w:t>
      </w:r>
      <w:r>
        <w:rPr>
          <w:noProof/>
        </w:rPr>
        <w:t> </w:t>
      </w:r>
      <w:r w:rsidRPr="0050685D">
        <w:rPr>
          <w:noProof/>
        </w:rPr>
        <w:t xml:space="preserve">budoucí koncepci vodní dopravy ČR. </w:t>
      </w:r>
    </w:p>
    <w:p w14:paraId="3D253413" w14:textId="77777777" w:rsidR="001B4719" w:rsidRPr="0050685D" w:rsidRDefault="001B4719" w:rsidP="001B4719">
      <w:pPr>
        <w:pStyle w:val="Nadpis3"/>
        <w:numPr>
          <w:ilvl w:val="2"/>
          <w:numId w:val="9"/>
        </w:numPr>
        <w:tabs>
          <w:tab w:val="left" w:pos="851"/>
          <w:tab w:val="num" w:pos="2411"/>
        </w:tabs>
        <w:ind w:left="284" w:firstLine="0"/>
        <w:jc w:val="both"/>
      </w:pPr>
      <w:bookmarkStart w:id="337" w:name="_Toc13685876"/>
      <w:bookmarkStart w:id="338" w:name="_Toc13753769"/>
      <w:bookmarkStart w:id="339" w:name="_Toc19792335"/>
      <w:bookmarkStart w:id="340" w:name="_Toc25084479"/>
      <w:bookmarkStart w:id="341" w:name="_Toc25136806"/>
      <w:bookmarkStart w:id="342" w:name="_Toc34295931"/>
      <w:r w:rsidRPr="0050685D">
        <w:t>Bariéry podstatného využití vozidel na plynná paliva</w:t>
      </w:r>
      <w:bookmarkEnd w:id="337"/>
      <w:bookmarkEnd w:id="338"/>
      <w:bookmarkEnd w:id="339"/>
      <w:bookmarkEnd w:id="340"/>
      <w:bookmarkEnd w:id="341"/>
      <w:bookmarkEnd w:id="342"/>
    </w:p>
    <w:p w14:paraId="574B9B3C" w14:textId="77777777" w:rsidR="001B4719" w:rsidRPr="0050685D" w:rsidRDefault="001B4719" w:rsidP="001B4719">
      <w:pPr>
        <w:jc w:val="both"/>
        <w:rPr>
          <w:szCs w:val="22"/>
        </w:rPr>
      </w:pPr>
      <w:r w:rsidRPr="0050685D">
        <w:rPr>
          <w:szCs w:val="22"/>
        </w:rPr>
        <w:t>V ČR jsou vytvořené přirozené podmínky pro plné využití potenciálu a</w:t>
      </w:r>
      <w:r w:rsidR="00546698">
        <w:rPr>
          <w:szCs w:val="22"/>
        </w:rPr>
        <w:t> </w:t>
      </w:r>
      <w:r w:rsidRPr="0050685D">
        <w:rPr>
          <w:szCs w:val="22"/>
        </w:rPr>
        <w:t>přínosu CNG, LNG a</w:t>
      </w:r>
      <w:r w:rsidR="00546698">
        <w:rPr>
          <w:szCs w:val="22"/>
        </w:rPr>
        <w:t> </w:t>
      </w:r>
      <w:r>
        <w:rPr>
          <w:szCs w:val="22"/>
        </w:rPr>
        <w:t>biometan</w:t>
      </w:r>
      <w:r w:rsidRPr="0050685D">
        <w:rPr>
          <w:szCs w:val="22"/>
        </w:rPr>
        <w:t>u v</w:t>
      </w:r>
      <w:r w:rsidR="00546698">
        <w:rPr>
          <w:szCs w:val="22"/>
        </w:rPr>
        <w:t> </w:t>
      </w:r>
      <w:r w:rsidRPr="0050685D">
        <w:rPr>
          <w:szCs w:val="22"/>
        </w:rPr>
        <w:t xml:space="preserve">dopravě. </w:t>
      </w:r>
      <w:r w:rsidRPr="00707317">
        <w:rPr>
          <w:b/>
          <w:bCs/>
          <w:szCs w:val="22"/>
        </w:rPr>
        <w:t>Podstatnému rozšíření však brání různé překážky koncepčního, legislativního a</w:t>
      </w:r>
      <w:r w:rsidR="00546698">
        <w:rPr>
          <w:b/>
          <w:bCs/>
          <w:szCs w:val="22"/>
        </w:rPr>
        <w:t> </w:t>
      </w:r>
      <w:r w:rsidRPr="00707317">
        <w:rPr>
          <w:b/>
          <w:bCs/>
          <w:szCs w:val="22"/>
        </w:rPr>
        <w:t>technického charakteru.</w:t>
      </w:r>
      <w:r w:rsidRPr="0050685D">
        <w:rPr>
          <w:szCs w:val="22"/>
        </w:rPr>
        <w:t xml:space="preserve"> Jen aktivní přístup všech zúčastněných stran na</w:t>
      </w:r>
      <w:r>
        <w:rPr>
          <w:szCs w:val="22"/>
        </w:rPr>
        <w:t> </w:t>
      </w:r>
      <w:r w:rsidRPr="0050685D">
        <w:rPr>
          <w:szCs w:val="22"/>
        </w:rPr>
        <w:t>úrovni státní správy, výrobců, distributorů a</w:t>
      </w:r>
      <w:r w:rsidR="00546698">
        <w:rPr>
          <w:szCs w:val="22"/>
        </w:rPr>
        <w:t> </w:t>
      </w:r>
      <w:r w:rsidRPr="0050685D">
        <w:rPr>
          <w:szCs w:val="22"/>
        </w:rPr>
        <w:t>uživatelů vozidel, plynárenských společností a</w:t>
      </w:r>
      <w:r w:rsidR="00546698">
        <w:rPr>
          <w:szCs w:val="22"/>
        </w:rPr>
        <w:t> </w:t>
      </w:r>
      <w:r w:rsidRPr="0050685D">
        <w:rPr>
          <w:szCs w:val="22"/>
        </w:rPr>
        <w:t xml:space="preserve">provozovatelů plnicích stanic je zárukou dalšího úspěšného vývoje při maximálním využití potenciálu obnovitelného </w:t>
      </w:r>
      <w:r>
        <w:rPr>
          <w:szCs w:val="22"/>
        </w:rPr>
        <w:t>biometan</w:t>
      </w:r>
      <w:r w:rsidRPr="0050685D">
        <w:rPr>
          <w:szCs w:val="22"/>
        </w:rPr>
        <w:t>u. Pro zachování úspěšného rozvoje je nutné zachovat neutrální přístup ke všem alternativním palivům, zrovnoprávnit stávající nízkoemisní paliva a</w:t>
      </w:r>
      <w:r w:rsidR="00546698">
        <w:rPr>
          <w:szCs w:val="22"/>
        </w:rPr>
        <w:t> </w:t>
      </w:r>
      <w:r w:rsidRPr="0050685D">
        <w:rPr>
          <w:szCs w:val="22"/>
        </w:rPr>
        <w:t>srovnat míru jejich podpory v</w:t>
      </w:r>
      <w:r w:rsidR="00546698">
        <w:rPr>
          <w:szCs w:val="22"/>
        </w:rPr>
        <w:t> </w:t>
      </w:r>
      <w:r w:rsidRPr="0050685D">
        <w:rPr>
          <w:szCs w:val="22"/>
        </w:rPr>
        <w:t>ČR s</w:t>
      </w:r>
      <w:r w:rsidR="00546698">
        <w:rPr>
          <w:szCs w:val="22"/>
        </w:rPr>
        <w:t> </w:t>
      </w:r>
      <w:r w:rsidRPr="0050685D">
        <w:rPr>
          <w:szCs w:val="22"/>
        </w:rPr>
        <w:t>vyspělými zeměmi v</w:t>
      </w:r>
      <w:r w:rsidR="00546698">
        <w:rPr>
          <w:szCs w:val="22"/>
        </w:rPr>
        <w:t> </w:t>
      </w:r>
      <w:r w:rsidRPr="0050685D">
        <w:rPr>
          <w:szCs w:val="22"/>
        </w:rPr>
        <w:t xml:space="preserve">EU. </w:t>
      </w:r>
    </w:p>
    <w:p w14:paraId="0A8F40F0" w14:textId="77777777" w:rsidR="001B4719" w:rsidRPr="006C7B9C" w:rsidRDefault="001B4719" w:rsidP="001B4719">
      <w:pPr>
        <w:pStyle w:val="Default"/>
        <w:numPr>
          <w:ilvl w:val="0"/>
          <w:numId w:val="20"/>
        </w:numPr>
        <w:ind w:left="0" w:firstLine="0"/>
        <w:jc w:val="both"/>
        <w:rPr>
          <w:sz w:val="22"/>
          <w:szCs w:val="22"/>
        </w:rPr>
      </w:pPr>
      <w:r w:rsidRPr="006C7B9C">
        <w:rPr>
          <w:b/>
          <w:bCs/>
          <w:sz w:val="22"/>
          <w:szCs w:val="22"/>
        </w:rPr>
        <w:t>ČR má mnohem striktnější podmínky garážování CNG aut než ostatní členské státy EU</w:t>
      </w:r>
      <w:r w:rsidRPr="006C7B9C">
        <w:rPr>
          <w:sz w:val="22"/>
          <w:szCs w:val="22"/>
        </w:rPr>
        <w:t>, aniž by to vedlo k</w:t>
      </w:r>
      <w:r w:rsidR="00546698">
        <w:rPr>
          <w:sz w:val="22"/>
          <w:szCs w:val="22"/>
        </w:rPr>
        <w:t> </w:t>
      </w:r>
      <w:r w:rsidRPr="006C7B9C">
        <w:rPr>
          <w:sz w:val="22"/>
          <w:szCs w:val="22"/>
        </w:rPr>
        <w:t xml:space="preserve">větší bezpečnosti. </w:t>
      </w:r>
      <w:r w:rsidRPr="006C7B9C">
        <w:rPr>
          <w:b/>
          <w:bCs/>
          <w:sz w:val="22"/>
          <w:szCs w:val="22"/>
        </w:rPr>
        <w:t>Jedná se o</w:t>
      </w:r>
      <w:r w:rsidR="00546698">
        <w:rPr>
          <w:b/>
          <w:bCs/>
          <w:sz w:val="22"/>
          <w:szCs w:val="22"/>
        </w:rPr>
        <w:t> </w:t>
      </w:r>
      <w:r w:rsidRPr="006C7B9C">
        <w:rPr>
          <w:b/>
          <w:bCs/>
          <w:sz w:val="22"/>
          <w:szCs w:val="22"/>
        </w:rPr>
        <w:t>omezení, které výrazným způsobem snižuje u</w:t>
      </w:r>
      <w:r w:rsidR="00546698">
        <w:rPr>
          <w:b/>
          <w:bCs/>
          <w:sz w:val="22"/>
          <w:szCs w:val="22"/>
        </w:rPr>
        <w:t> </w:t>
      </w:r>
      <w:r w:rsidRPr="006C7B9C">
        <w:rPr>
          <w:b/>
          <w:bCs/>
          <w:sz w:val="22"/>
          <w:szCs w:val="22"/>
        </w:rPr>
        <w:t>veřejnosti atraktivitu vozidel na zemní plyn.</w:t>
      </w:r>
      <w:r w:rsidRPr="006C7B9C">
        <w:rPr>
          <w:sz w:val="22"/>
          <w:szCs w:val="22"/>
        </w:rPr>
        <w:t xml:space="preserve"> Pro odstranění existujících zákazů vjezdu a</w:t>
      </w:r>
      <w:r w:rsidR="00546698">
        <w:rPr>
          <w:sz w:val="22"/>
          <w:szCs w:val="22"/>
        </w:rPr>
        <w:t> </w:t>
      </w:r>
      <w:r w:rsidRPr="006C7B9C">
        <w:rPr>
          <w:sz w:val="22"/>
          <w:szCs w:val="22"/>
        </w:rPr>
        <w:t>omezení garážování vozidel na CNG v</w:t>
      </w:r>
      <w:r w:rsidR="00546698">
        <w:rPr>
          <w:sz w:val="22"/>
          <w:szCs w:val="22"/>
        </w:rPr>
        <w:t> </w:t>
      </w:r>
      <w:r w:rsidRPr="006C7B9C">
        <w:rPr>
          <w:sz w:val="22"/>
          <w:szCs w:val="22"/>
        </w:rPr>
        <w:t>hromadných podzemních garážích a</w:t>
      </w:r>
      <w:r w:rsidR="00546698">
        <w:rPr>
          <w:sz w:val="22"/>
          <w:szCs w:val="22"/>
        </w:rPr>
        <w:t> </w:t>
      </w:r>
      <w:r w:rsidRPr="006C7B9C">
        <w:rPr>
          <w:sz w:val="22"/>
          <w:szCs w:val="22"/>
        </w:rPr>
        <w:t>současně i</w:t>
      </w:r>
      <w:r w:rsidR="00546698">
        <w:rPr>
          <w:sz w:val="22"/>
          <w:szCs w:val="22"/>
        </w:rPr>
        <w:t> </w:t>
      </w:r>
      <w:r w:rsidRPr="006C7B9C">
        <w:rPr>
          <w:sz w:val="22"/>
          <w:szCs w:val="22"/>
        </w:rPr>
        <w:t xml:space="preserve">odstranění tohoto diskriminačního prostředí je potřeba provést především úpravy stávající legislativy, které uvádí Příloha č. 3 </w:t>
      </w:r>
      <w:r w:rsidRPr="006C7B9C">
        <w:rPr>
          <w:i/>
          <w:sz w:val="22"/>
          <w:szCs w:val="22"/>
        </w:rPr>
        <w:t>Všeobecná opatření na podporu rozvoje užití CNG/LNG a</w:t>
      </w:r>
      <w:r w:rsidR="00546698">
        <w:rPr>
          <w:i/>
          <w:sz w:val="22"/>
          <w:szCs w:val="22"/>
        </w:rPr>
        <w:t> </w:t>
      </w:r>
      <w:r>
        <w:rPr>
          <w:i/>
          <w:sz w:val="22"/>
          <w:szCs w:val="22"/>
        </w:rPr>
        <w:t>biometan</w:t>
      </w:r>
      <w:r w:rsidRPr="006C7B9C">
        <w:rPr>
          <w:i/>
          <w:sz w:val="22"/>
          <w:szCs w:val="22"/>
        </w:rPr>
        <w:t>u v</w:t>
      </w:r>
      <w:r w:rsidR="00546698">
        <w:rPr>
          <w:i/>
          <w:sz w:val="22"/>
          <w:szCs w:val="22"/>
        </w:rPr>
        <w:t> </w:t>
      </w:r>
      <w:r w:rsidRPr="006C7B9C">
        <w:rPr>
          <w:i/>
          <w:sz w:val="22"/>
          <w:szCs w:val="22"/>
        </w:rPr>
        <w:t>dopravě</w:t>
      </w:r>
      <w:r w:rsidRPr="006C7B9C">
        <w:rPr>
          <w:sz w:val="22"/>
          <w:szCs w:val="22"/>
        </w:rPr>
        <w:t>. Přetrvávající stav totiž dlouhodobě utváří obecně negativní povědomí o</w:t>
      </w:r>
      <w:r w:rsidR="00546698">
        <w:rPr>
          <w:sz w:val="22"/>
          <w:szCs w:val="22"/>
        </w:rPr>
        <w:t> </w:t>
      </w:r>
      <w:r w:rsidRPr="006C7B9C">
        <w:rPr>
          <w:sz w:val="22"/>
          <w:szCs w:val="22"/>
        </w:rPr>
        <w:t>CNG. Jedná se o</w:t>
      </w:r>
      <w:r w:rsidR="00546698">
        <w:rPr>
          <w:sz w:val="22"/>
          <w:szCs w:val="22"/>
        </w:rPr>
        <w:t> </w:t>
      </w:r>
      <w:r w:rsidRPr="006C7B9C">
        <w:rPr>
          <w:sz w:val="22"/>
          <w:szCs w:val="22"/>
        </w:rPr>
        <w:t>zásadní omezení, které negativně ovlivňuje zájem spotřebitelů o</w:t>
      </w:r>
      <w:r w:rsidR="00546698">
        <w:rPr>
          <w:sz w:val="22"/>
          <w:szCs w:val="22"/>
        </w:rPr>
        <w:t> </w:t>
      </w:r>
      <w:r w:rsidRPr="006C7B9C">
        <w:rPr>
          <w:sz w:val="22"/>
          <w:szCs w:val="22"/>
        </w:rPr>
        <w:t>nákup vozidel s</w:t>
      </w:r>
      <w:r w:rsidR="00546698">
        <w:rPr>
          <w:sz w:val="22"/>
          <w:szCs w:val="22"/>
        </w:rPr>
        <w:t> </w:t>
      </w:r>
      <w:r w:rsidRPr="006C7B9C">
        <w:rPr>
          <w:sz w:val="22"/>
          <w:szCs w:val="22"/>
        </w:rPr>
        <w:t xml:space="preserve">pohonem na zemní plyn. </w:t>
      </w:r>
    </w:p>
    <w:p w14:paraId="34BAFF7F" w14:textId="77777777" w:rsidR="001B4719" w:rsidRPr="002E470D" w:rsidRDefault="001B4719" w:rsidP="001B4719">
      <w:pPr>
        <w:jc w:val="both"/>
        <w:rPr>
          <w:rFonts w:cs="Arial"/>
        </w:rPr>
      </w:pPr>
      <w:r w:rsidRPr="0050685D">
        <w:t>Auta na stlačený zemní plyn (CNG) nejsou větším bezpečnostním rizikem než auta na benzín. V</w:t>
      </w:r>
      <w:r w:rsidR="00546698">
        <w:t> </w:t>
      </w:r>
      <w:r w:rsidRPr="0050685D">
        <w:t>zahraničí tuto skutečnost přijali a</w:t>
      </w:r>
      <w:r w:rsidR="00546698">
        <w:t> </w:t>
      </w:r>
      <w:r w:rsidRPr="0050685D">
        <w:t>vozidla s</w:t>
      </w:r>
      <w:r w:rsidR="00546698">
        <w:t> </w:t>
      </w:r>
      <w:r w:rsidRPr="0050685D">
        <w:t>pohonem na CNG vnímají stejně jako benzínová.</w:t>
      </w:r>
      <w:r>
        <w:t xml:space="preserve"> </w:t>
      </w:r>
      <w:r w:rsidRPr="0050685D">
        <w:t>Praxe v</w:t>
      </w:r>
      <w:r w:rsidR="00546698">
        <w:t> </w:t>
      </w:r>
      <w:r w:rsidRPr="0050685D">
        <w:t>sousedních zemích dokazuje, že garážováním CNG vozidel nevznikají žádná zvýšená bezpečnostní rizika a</w:t>
      </w:r>
      <w:r w:rsidR="00546698">
        <w:t> </w:t>
      </w:r>
      <w:r w:rsidRPr="0050685D">
        <w:t>jejich garážování ani nepředstavuje žádná zvýšená ohrožení.</w:t>
      </w:r>
    </w:p>
    <w:p w14:paraId="04E8697B" w14:textId="77777777" w:rsidR="001B4719" w:rsidRPr="002E470D" w:rsidRDefault="001B4719" w:rsidP="001B4719">
      <w:pPr>
        <w:pStyle w:val="Default"/>
        <w:numPr>
          <w:ilvl w:val="0"/>
          <w:numId w:val="20"/>
        </w:numPr>
        <w:ind w:left="0" w:firstLine="0"/>
        <w:jc w:val="both"/>
        <w:rPr>
          <w:sz w:val="22"/>
          <w:szCs w:val="22"/>
        </w:rPr>
      </w:pPr>
      <w:r w:rsidRPr="002E470D">
        <w:rPr>
          <w:sz w:val="22"/>
          <w:szCs w:val="22"/>
        </w:rPr>
        <w:t xml:space="preserve">Další klíčovou překážkou je dlouhodobě </w:t>
      </w:r>
      <w:r w:rsidRPr="00255A20">
        <w:rPr>
          <w:b/>
          <w:sz w:val="22"/>
          <w:szCs w:val="22"/>
        </w:rPr>
        <w:t>limitující nabídka žádaných modelů</w:t>
      </w:r>
      <w:r w:rsidRPr="002E470D">
        <w:rPr>
          <w:sz w:val="22"/>
          <w:szCs w:val="22"/>
        </w:rPr>
        <w:t xml:space="preserve"> osobních vozů a</w:t>
      </w:r>
      <w:r w:rsidR="00546698">
        <w:rPr>
          <w:sz w:val="22"/>
          <w:szCs w:val="22"/>
        </w:rPr>
        <w:t> </w:t>
      </w:r>
      <w:r w:rsidRPr="002E470D">
        <w:rPr>
          <w:sz w:val="22"/>
          <w:szCs w:val="22"/>
        </w:rPr>
        <w:t>lehkých užitkových vozidel na CNG a</w:t>
      </w:r>
      <w:r w:rsidR="00546698">
        <w:rPr>
          <w:sz w:val="22"/>
          <w:szCs w:val="22"/>
        </w:rPr>
        <w:t> </w:t>
      </w:r>
      <w:r w:rsidRPr="002E470D">
        <w:rPr>
          <w:sz w:val="22"/>
          <w:szCs w:val="22"/>
        </w:rPr>
        <w:t>LNG na primární a</w:t>
      </w:r>
      <w:r w:rsidR="00546698">
        <w:rPr>
          <w:sz w:val="22"/>
          <w:szCs w:val="22"/>
        </w:rPr>
        <w:t> </w:t>
      </w:r>
      <w:r w:rsidRPr="002E470D">
        <w:rPr>
          <w:sz w:val="22"/>
          <w:szCs w:val="22"/>
        </w:rPr>
        <w:t>sekundárním trhu v</w:t>
      </w:r>
      <w:r w:rsidR="00546698">
        <w:rPr>
          <w:sz w:val="22"/>
          <w:szCs w:val="22"/>
        </w:rPr>
        <w:t> </w:t>
      </w:r>
      <w:r w:rsidRPr="002E470D">
        <w:rPr>
          <w:sz w:val="22"/>
          <w:szCs w:val="22"/>
        </w:rPr>
        <w:t>ČR, ale i</w:t>
      </w:r>
      <w:r w:rsidR="00546698">
        <w:rPr>
          <w:sz w:val="22"/>
          <w:szCs w:val="22"/>
        </w:rPr>
        <w:t> </w:t>
      </w:r>
      <w:r w:rsidRPr="002E470D">
        <w:rPr>
          <w:sz w:val="22"/>
          <w:szCs w:val="22"/>
        </w:rPr>
        <w:t>v</w:t>
      </w:r>
      <w:r>
        <w:rPr>
          <w:sz w:val="22"/>
          <w:szCs w:val="22"/>
        </w:rPr>
        <w:t> </w:t>
      </w:r>
      <w:r w:rsidRPr="002E470D">
        <w:rPr>
          <w:sz w:val="22"/>
          <w:szCs w:val="22"/>
        </w:rPr>
        <w:t xml:space="preserve">Evropě. </w:t>
      </w:r>
      <w:r w:rsidRPr="002E470D">
        <w:rPr>
          <w:b/>
          <w:bCs/>
          <w:sz w:val="22"/>
          <w:szCs w:val="22"/>
        </w:rPr>
        <w:t>Jedním z</w:t>
      </w:r>
      <w:r w:rsidR="00546698">
        <w:rPr>
          <w:b/>
          <w:bCs/>
          <w:sz w:val="22"/>
          <w:szCs w:val="22"/>
        </w:rPr>
        <w:t> </w:t>
      </w:r>
      <w:r w:rsidRPr="002E470D">
        <w:rPr>
          <w:b/>
          <w:bCs/>
          <w:sz w:val="22"/>
          <w:szCs w:val="22"/>
        </w:rPr>
        <w:t>účinných motivačních nástrojů pro výrobce CNG aut je nastavení korekčního faktoru úspor emisí CO</w:t>
      </w:r>
      <w:r w:rsidRPr="002E470D">
        <w:rPr>
          <w:b/>
          <w:bCs/>
          <w:sz w:val="22"/>
          <w:szCs w:val="22"/>
          <w:vertAlign w:val="subscript"/>
        </w:rPr>
        <w:t>2</w:t>
      </w:r>
      <w:r w:rsidRPr="002E470D">
        <w:rPr>
          <w:b/>
          <w:bCs/>
          <w:sz w:val="22"/>
          <w:szCs w:val="22"/>
        </w:rPr>
        <w:t xml:space="preserve"> respektující podíl biosložky v</w:t>
      </w:r>
      <w:r w:rsidR="00546698">
        <w:rPr>
          <w:b/>
          <w:bCs/>
          <w:sz w:val="22"/>
          <w:szCs w:val="22"/>
        </w:rPr>
        <w:t> </w:t>
      </w:r>
      <w:r w:rsidRPr="002E470D">
        <w:rPr>
          <w:b/>
          <w:bCs/>
          <w:sz w:val="22"/>
          <w:szCs w:val="22"/>
        </w:rPr>
        <w:t>palivu. Jedná se o</w:t>
      </w:r>
      <w:r w:rsidR="00546698">
        <w:rPr>
          <w:b/>
          <w:bCs/>
          <w:sz w:val="22"/>
          <w:szCs w:val="22"/>
        </w:rPr>
        <w:t> </w:t>
      </w:r>
      <w:r w:rsidRPr="002E470D">
        <w:rPr>
          <w:b/>
          <w:bCs/>
          <w:sz w:val="22"/>
          <w:szCs w:val="22"/>
        </w:rPr>
        <w:t>zásadní motivační podmínku pro výrobce CNG automobilů.</w:t>
      </w:r>
      <w:r w:rsidRPr="002E470D">
        <w:rPr>
          <w:color w:val="FF0000"/>
          <w:sz w:val="22"/>
          <w:szCs w:val="22"/>
        </w:rPr>
        <w:t xml:space="preserve"> </w:t>
      </w:r>
    </w:p>
    <w:p w14:paraId="63234BF4" w14:textId="77777777" w:rsidR="001B4719" w:rsidRPr="002E470D" w:rsidRDefault="001B4719" w:rsidP="001B4719">
      <w:pPr>
        <w:jc w:val="both"/>
      </w:pPr>
      <w:r w:rsidRPr="002E470D">
        <w:rPr>
          <w:b/>
          <w:bCs/>
          <w:szCs w:val="22"/>
        </w:rPr>
        <w:t>Metodika vykazování emisí CO</w:t>
      </w:r>
      <w:r w:rsidRPr="002E470D">
        <w:rPr>
          <w:b/>
          <w:bCs/>
          <w:szCs w:val="22"/>
          <w:vertAlign w:val="subscript"/>
        </w:rPr>
        <w:t>2</w:t>
      </w:r>
      <w:r w:rsidRPr="002E470D">
        <w:rPr>
          <w:b/>
          <w:bCs/>
          <w:szCs w:val="22"/>
        </w:rPr>
        <w:t xml:space="preserve"> (měřené nebo vypočtené) je koncipována na spotřebu vozidla spalujícího konvenční fosilní kapalné nebo plynné palivo</w:t>
      </w:r>
      <w:r w:rsidRPr="002E470D">
        <w:rPr>
          <w:szCs w:val="22"/>
        </w:rPr>
        <w:t>. S</w:t>
      </w:r>
      <w:r w:rsidR="00546698">
        <w:rPr>
          <w:szCs w:val="22"/>
        </w:rPr>
        <w:t> </w:t>
      </w:r>
      <w:r w:rsidRPr="002E470D">
        <w:rPr>
          <w:szCs w:val="22"/>
        </w:rPr>
        <w:t>ohledem na vzrůstající provoz hybridních pohonných jednotek, elektromobilů a</w:t>
      </w:r>
      <w:r w:rsidR="00546698">
        <w:rPr>
          <w:szCs w:val="22"/>
        </w:rPr>
        <w:t> </w:t>
      </w:r>
      <w:r w:rsidRPr="002E470D">
        <w:rPr>
          <w:szCs w:val="22"/>
        </w:rPr>
        <w:t>používaná nefosilní paliva (biopaliva), tak emise CO</w:t>
      </w:r>
      <w:r w:rsidRPr="002E470D">
        <w:rPr>
          <w:szCs w:val="22"/>
          <w:vertAlign w:val="subscript"/>
        </w:rPr>
        <w:t>2</w:t>
      </w:r>
      <w:r w:rsidRPr="002E470D">
        <w:rPr>
          <w:szCs w:val="22"/>
        </w:rPr>
        <w:t xml:space="preserve"> z</w:t>
      </w:r>
      <w:r w:rsidR="00546698">
        <w:rPr>
          <w:szCs w:val="22"/>
        </w:rPr>
        <w:t> </w:t>
      </w:r>
      <w:r w:rsidRPr="002E470D">
        <w:rPr>
          <w:szCs w:val="22"/>
        </w:rPr>
        <w:t xml:space="preserve">výfuku již neodpovídají celkové účinnosti těchto vozidel, ani jejich skutečnému dopad na změnu klimatu. </w:t>
      </w:r>
      <w:r w:rsidRPr="002E470D">
        <w:rPr>
          <w:b/>
          <w:bCs/>
          <w:szCs w:val="22"/>
        </w:rPr>
        <w:t>Řešení tohoto problému vyžaduje zcela nový pohled a</w:t>
      </w:r>
      <w:r w:rsidR="00546698">
        <w:rPr>
          <w:b/>
          <w:bCs/>
          <w:szCs w:val="22"/>
        </w:rPr>
        <w:t> </w:t>
      </w:r>
      <w:r w:rsidRPr="002E470D">
        <w:rPr>
          <w:b/>
          <w:bCs/>
          <w:szCs w:val="22"/>
        </w:rPr>
        <w:t>nutné zohlednění přínosu používání moderních biopaliv a</w:t>
      </w:r>
      <w:r w:rsidR="00546698">
        <w:rPr>
          <w:b/>
          <w:bCs/>
          <w:szCs w:val="22"/>
        </w:rPr>
        <w:t> </w:t>
      </w:r>
      <w:r w:rsidRPr="002E470D">
        <w:rPr>
          <w:b/>
          <w:bCs/>
          <w:szCs w:val="22"/>
        </w:rPr>
        <w:t>obnovitelných pohonných hmot</w:t>
      </w:r>
      <w:r w:rsidRPr="002E470D">
        <w:rPr>
          <w:szCs w:val="22"/>
        </w:rPr>
        <w:t>. Při využívání obnovitelných zdrojů je věcně správné vykazovat emise CO</w:t>
      </w:r>
      <w:r w:rsidRPr="002E470D">
        <w:rPr>
          <w:szCs w:val="22"/>
          <w:vertAlign w:val="subscript"/>
        </w:rPr>
        <w:t>2</w:t>
      </w:r>
      <w:r w:rsidRPr="002E470D">
        <w:rPr>
          <w:szCs w:val="22"/>
        </w:rPr>
        <w:t xml:space="preserve"> jejich měřením na základě analýzy W</w:t>
      </w:r>
      <w:r>
        <w:rPr>
          <w:szCs w:val="22"/>
        </w:rPr>
        <w:t>T</w:t>
      </w:r>
      <w:r w:rsidRPr="002E470D">
        <w:rPr>
          <w:szCs w:val="22"/>
        </w:rPr>
        <w:t>W</w:t>
      </w:r>
      <w:r>
        <w:rPr>
          <w:rStyle w:val="Znakapoznpodarou"/>
          <w:szCs w:val="22"/>
        </w:rPr>
        <w:footnoteReference w:id="12"/>
      </w:r>
      <w:r w:rsidRPr="002E470D">
        <w:rPr>
          <w:szCs w:val="22"/>
        </w:rPr>
        <w:t>, která zohledňuje celý životní cyklus paliva oproti analýze T</w:t>
      </w:r>
      <w:r>
        <w:rPr>
          <w:szCs w:val="22"/>
        </w:rPr>
        <w:t>T</w:t>
      </w:r>
      <w:r w:rsidRPr="002E470D">
        <w:rPr>
          <w:szCs w:val="22"/>
        </w:rPr>
        <w:t>W</w:t>
      </w:r>
      <w:r>
        <w:rPr>
          <w:rStyle w:val="Znakapoznpodarou"/>
          <w:szCs w:val="22"/>
        </w:rPr>
        <w:footnoteReference w:id="13"/>
      </w:r>
      <w:r w:rsidRPr="002E470D">
        <w:rPr>
          <w:szCs w:val="22"/>
        </w:rPr>
        <w:t>, která vykazuje emise CO</w:t>
      </w:r>
      <w:r w:rsidRPr="002E470D">
        <w:rPr>
          <w:szCs w:val="22"/>
          <w:vertAlign w:val="subscript"/>
        </w:rPr>
        <w:t>2</w:t>
      </w:r>
      <w:r w:rsidRPr="002E470D">
        <w:rPr>
          <w:szCs w:val="22"/>
        </w:rPr>
        <w:t xml:space="preserve"> </w:t>
      </w:r>
      <w:r w:rsidRPr="002E470D">
        <w:rPr>
          <w:szCs w:val="22"/>
        </w:rPr>
        <w:lastRenderedPageBreak/>
        <w:t>jen na výfuku a</w:t>
      </w:r>
      <w:r w:rsidR="00546698">
        <w:rPr>
          <w:szCs w:val="22"/>
        </w:rPr>
        <w:t> </w:t>
      </w:r>
      <w:r w:rsidRPr="002E470D">
        <w:rPr>
          <w:szCs w:val="22"/>
        </w:rPr>
        <w:t xml:space="preserve">nezohledňuje celý životní cyklus. </w:t>
      </w:r>
      <w:r w:rsidRPr="002E470D">
        <w:rPr>
          <w:b/>
          <w:bCs/>
          <w:szCs w:val="22"/>
        </w:rPr>
        <w:t>Je nutné apelovat na změnu metodiky vykazování emisí CO</w:t>
      </w:r>
      <w:r w:rsidRPr="002E470D">
        <w:rPr>
          <w:b/>
          <w:bCs/>
          <w:szCs w:val="22"/>
          <w:vertAlign w:val="subscript"/>
        </w:rPr>
        <w:t>2</w:t>
      </w:r>
      <w:r w:rsidRPr="002E470D">
        <w:rPr>
          <w:b/>
          <w:bCs/>
          <w:szCs w:val="22"/>
        </w:rPr>
        <w:t xml:space="preserve"> na evropské úrovni tak, aby byl zohledněn celý životní cyklus W</w:t>
      </w:r>
      <w:r>
        <w:rPr>
          <w:b/>
          <w:bCs/>
          <w:szCs w:val="22"/>
        </w:rPr>
        <w:t>T</w:t>
      </w:r>
      <w:r w:rsidRPr="002E470D">
        <w:rPr>
          <w:b/>
          <w:bCs/>
          <w:szCs w:val="22"/>
        </w:rPr>
        <w:t>W, a</w:t>
      </w:r>
      <w:r w:rsidR="00546698">
        <w:rPr>
          <w:b/>
          <w:bCs/>
          <w:szCs w:val="22"/>
        </w:rPr>
        <w:t> </w:t>
      </w:r>
      <w:r w:rsidRPr="002E470D">
        <w:rPr>
          <w:b/>
          <w:bCs/>
          <w:szCs w:val="22"/>
        </w:rPr>
        <w:t>tím byl zaručen nediskriminační přístup a</w:t>
      </w:r>
      <w:r w:rsidR="00546698">
        <w:rPr>
          <w:b/>
          <w:bCs/>
          <w:szCs w:val="22"/>
        </w:rPr>
        <w:t> </w:t>
      </w:r>
      <w:r w:rsidRPr="002E470D">
        <w:rPr>
          <w:b/>
          <w:bCs/>
          <w:szCs w:val="22"/>
        </w:rPr>
        <w:t>technologická neutralita mezi alternativními palivy</w:t>
      </w:r>
      <w:r w:rsidRPr="002E470D">
        <w:rPr>
          <w:szCs w:val="22"/>
        </w:rPr>
        <w:t>.</w:t>
      </w:r>
    </w:p>
    <w:p w14:paraId="5C25B94A" w14:textId="77777777" w:rsidR="001B4719" w:rsidRPr="002E470D" w:rsidRDefault="001B4719" w:rsidP="001B4719">
      <w:pPr>
        <w:pStyle w:val="Default"/>
        <w:numPr>
          <w:ilvl w:val="0"/>
          <w:numId w:val="20"/>
        </w:numPr>
        <w:ind w:left="0" w:firstLine="0"/>
        <w:jc w:val="both"/>
        <w:rPr>
          <w:sz w:val="20"/>
          <w:szCs w:val="20"/>
        </w:rPr>
      </w:pPr>
      <w:r w:rsidRPr="002E470D">
        <w:rPr>
          <w:b/>
          <w:bCs/>
          <w:sz w:val="22"/>
          <w:szCs w:val="22"/>
        </w:rPr>
        <w:t>Přetrvávající nízké povědomí veřejnosti o</w:t>
      </w:r>
      <w:r w:rsidR="00546698">
        <w:rPr>
          <w:b/>
          <w:bCs/>
          <w:sz w:val="22"/>
          <w:szCs w:val="22"/>
        </w:rPr>
        <w:t> </w:t>
      </w:r>
      <w:r w:rsidRPr="002E470D">
        <w:rPr>
          <w:b/>
          <w:bCs/>
          <w:sz w:val="22"/>
          <w:szCs w:val="22"/>
        </w:rPr>
        <w:t>ekonomickém přínosu CNG a</w:t>
      </w:r>
      <w:r w:rsidR="00546698">
        <w:rPr>
          <w:b/>
          <w:bCs/>
          <w:sz w:val="22"/>
          <w:szCs w:val="22"/>
        </w:rPr>
        <w:t> </w:t>
      </w:r>
      <w:r w:rsidRPr="002E470D">
        <w:rPr>
          <w:b/>
          <w:bCs/>
          <w:sz w:val="22"/>
          <w:szCs w:val="22"/>
        </w:rPr>
        <w:t>LNG aut pro provozovatele, jejich technických vlastnostech, bezpečnosti provozu a</w:t>
      </w:r>
      <w:r w:rsidR="00546698">
        <w:rPr>
          <w:b/>
          <w:bCs/>
          <w:sz w:val="22"/>
          <w:szCs w:val="22"/>
        </w:rPr>
        <w:t> </w:t>
      </w:r>
      <w:r w:rsidRPr="002E470D">
        <w:rPr>
          <w:b/>
          <w:bCs/>
          <w:sz w:val="22"/>
          <w:szCs w:val="22"/>
        </w:rPr>
        <w:t>přínosu pro snížení emisí a</w:t>
      </w:r>
      <w:r w:rsidR="00546698">
        <w:rPr>
          <w:b/>
          <w:bCs/>
          <w:sz w:val="22"/>
          <w:szCs w:val="22"/>
        </w:rPr>
        <w:t> </w:t>
      </w:r>
      <w:r w:rsidRPr="002E470D">
        <w:rPr>
          <w:b/>
          <w:bCs/>
          <w:sz w:val="22"/>
          <w:szCs w:val="22"/>
        </w:rPr>
        <w:t>škodlivých látek z</w:t>
      </w:r>
      <w:r w:rsidR="00546698">
        <w:rPr>
          <w:b/>
          <w:bCs/>
          <w:sz w:val="22"/>
          <w:szCs w:val="22"/>
        </w:rPr>
        <w:t> </w:t>
      </w:r>
      <w:r w:rsidRPr="002E470D">
        <w:rPr>
          <w:b/>
          <w:bCs/>
          <w:sz w:val="22"/>
          <w:szCs w:val="22"/>
        </w:rPr>
        <w:t>dopravy v</w:t>
      </w:r>
      <w:r w:rsidR="00546698">
        <w:rPr>
          <w:b/>
          <w:bCs/>
          <w:sz w:val="22"/>
          <w:szCs w:val="22"/>
        </w:rPr>
        <w:t> </w:t>
      </w:r>
      <w:r w:rsidRPr="002E470D">
        <w:rPr>
          <w:b/>
          <w:bCs/>
          <w:sz w:val="22"/>
          <w:szCs w:val="22"/>
        </w:rPr>
        <w:t xml:space="preserve">ČR. </w:t>
      </w:r>
      <w:r w:rsidRPr="002E470D">
        <w:rPr>
          <w:sz w:val="22"/>
          <w:szCs w:val="22"/>
        </w:rPr>
        <w:t>Příčinu lze spatřovat v</w:t>
      </w:r>
      <w:r w:rsidR="00546698">
        <w:rPr>
          <w:sz w:val="22"/>
          <w:szCs w:val="22"/>
        </w:rPr>
        <w:t> </w:t>
      </w:r>
      <w:r w:rsidRPr="002E470D">
        <w:rPr>
          <w:sz w:val="22"/>
          <w:szCs w:val="22"/>
        </w:rPr>
        <w:t>nedostatečné informovanosti a</w:t>
      </w:r>
      <w:r w:rsidR="00546698">
        <w:rPr>
          <w:sz w:val="22"/>
          <w:szCs w:val="22"/>
        </w:rPr>
        <w:t> </w:t>
      </w:r>
      <w:r w:rsidRPr="002E470D">
        <w:rPr>
          <w:sz w:val="22"/>
          <w:szCs w:val="22"/>
        </w:rPr>
        <w:t>popularizaci zemního plynu jako levné a</w:t>
      </w:r>
      <w:r w:rsidR="00546698">
        <w:rPr>
          <w:sz w:val="22"/>
          <w:szCs w:val="22"/>
        </w:rPr>
        <w:t> </w:t>
      </w:r>
      <w:r w:rsidR="00FF3453">
        <w:rPr>
          <w:sz w:val="22"/>
          <w:szCs w:val="22"/>
        </w:rPr>
        <w:t xml:space="preserve">současně </w:t>
      </w:r>
      <w:r w:rsidRPr="002E470D">
        <w:rPr>
          <w:sz w:val="22"/>
          <w:szCs w:val="22"/>
        </w:rPr>
        <w:t>nízkoemis</w:t>
      </w:r>
      <w:r w:rsidR="00FF3453">
        <w:rPr>
          <w:sz w:val="22"/>
          <w:szCs w:val="22"/>
        </w:rPr>
        <w:t>ní (</w:t>
      </w:r>
      <w:r w:rsidRPr="002E470D">
        <w:rPr>
          <w:sz w:val="22"/>
          <w:szCs w:val="22"/>
        </w:rPr>
        <w:t>v</w:t>
      </w:r>
      <w:r w:rsidR="00546698">
        <w:rPr>
          <w:sz w:val="22"/>
          <w:szCs w:val="22"/>
        </w:rPr>
        <w:t> </w:t>
      </w:r>
      <w:r w:rsidRPr="002E470D">
        <w:rPr>
          <w:sz w:val="22"/>
          <w:szCs w:val="22"/>
        </w:rPr>
        <w:t xml:space="preserve">případě pokročilého </w:t>
      </w:r>
      <w:r>
        <w:rPr>
          <w:sz w:val="22"/>
          <w:szCs w:val="22"/>
        </w:rPr>
        <w:t>biometan</w:t>
      </w:r>
      <w:r w:rsidRPr="002E470D">
        <w:rPr>
          <w:sz w:val="22"/>
          <w:szCs w:val="22"/>
        </w:rPr>
        <w:t>u bezemisní) pohonné hmoty a</w:t>
      </w:r>
      <w:r w:rsidR="00546698">
        <w:rPr>
          <w:sz w:val="22"/>
          <w:szCs w:val="22"/>
        </w:rPr>
        <w:t> </w:t>
      </w:r>
      <w:r w:rsidRPr="002E470D">
        <w:rPr>
          <w:sz w:val="22"/>
          <w:szCs w:val="22"/>
        </w:rPr>
        <w:t>malý zájem médií o</w:t>
      </w:r>
      <w:r w:rsidR="00546698">
        <w:rPr>
          <w:sz w:val="22"/>
          <w:szCs w:val="22"/>
        </w:rPr>
        <w:t> </w:t>
      </w:r>
      <w:r w:rsidRPr="002E470D">
        <w:rPr>
          <w:sz w:val="22"/>
          <w:szCs w:val="22"/>
        </w:rPr>
        <w:t>tuto problematiku.</w:t>
      </w:r>
    </w:p>
    <w:p w14:paraId="2E422A12" w14:textId="77777777" w:rsidR="001B4719" w:rsidRPr="002E470D" w:rsidRDefault="001B4719" w:rsidP="001B4719">
      <w:pPr>
        <w:pStyle w:val="Default"/>
        <w:jc w:val="both"/>
        <w:rPr>
          <w:sz w:val="20"/>
          <w:szCs w:val="20"/>
        </w:rPr>
      </w:pPr>
    </w:p>
    <w:p w14:paraId="3B54B461" w14:textId="77777777" w:rsidR="001B4719" w:rsidRDefault="001B4719" w:rsidP="001B4719">
      <w:pPr>
        <w:pStyle w:val="Default"/>
        <w:numPr>
          <w:ilvl w:val="0"/>
          <w:numId w:val="20"/>
        </w:numPr>
        <w:ind w:left="0" w:firstLine="0"/>
        <w:jc w:val="both"/>
        <w:rPr>
          <w:sz w:val="22"/>
          <w:szCs w:val="22"/>
        </w:rPr>
      </w:pPr>
      <w:r w:rsidRPr="002E470D">
        <w:rPr>
          <w:sz w:val="22"/>
          <w:szCs w:val="22"/>
        </w:rPr>
        <w:t xml:space="preserve">V oblasti LNG představují velkou překážku dalšího rozvoje </w:t>
      </w:r>
      <w:r w:rsidRPr="002E470D">
        <w:rPr>
          <w:b/>
          <w:sz w:val="22"/>
          <w:szCs w:val="22"/>
        </w:rPr>
        <w:t>výrazně vyšší náklady na pořízení LNG nákladních vozidel</w:t>
      </w:r>
      <w:r w:rsidRPr="002E470D">
        <w:rPr>
          <w:sz w:val="22"/>
          <w:szCs w:val="22"/>
        </w:rPr>
        <w:t xml:space="preserve"> v</w:t>
      </w:r>
      <w:r w:rsidR="00546698">
        <w:rPr>
          <w:sz w:val="22"/>
          <w:szCs w:val="22"/>
        </w:rPr>
        <w:t> </w:t>
      </w:r>
      <w:r w:rsidRPr="002E470D">
        <w:rPr>
          <w:sz w:val="22"/>
          <w:szCs w:val="22"/>
        </w:rPr>
        <w:t>porovnání s</w:t>
      </w:r>
      <w:r w:rsidR="00546698">
        <w:rPr>
          <w:sz w:val="22"/>
          <w:szCs w:val="22"/>
        </w:rPr>
        <w:t> </w:t>
      </w:r>
      <w:r w:rsidRPr="002E470D">
        <w:rPr>
          <w:sz w:val="22"/>
          <w:szCs w:val="22"/>
        </w:rPr>
        <w:t xml:space="preserve">pořizovacími náklady vozidel na klasická fosilní paliva. </w:t>
      </w:r>
      <w:r>
        <w:rPr>
          <w:sz w:val="22"/>
          <w:szCs w:val="22"/>
        </w:rPr>
        <w:t>T</w:t>
      </w:r>
      <w:r w:rsidRPr="002E470D">
        <w:rPr>
          <w:sz w:val="22"/>
          <w:szCs w:val="22"/>
        </w:rPr>
        <w:t>ento rozdíl se pohybuje v</w:t>
      </w:r>
      <w:r w:rsidR="00546698">
        <w:rPr>
          <w:sz w:val="22"/>
          <w:szCs w:val="22"/>
        </w:rPr>
        <w:t> </w:t>
      </w:r>
      <w:r w:rsidRPr="002E470D">
        <w:rPr>
          <w:sz w:val="22"/>
          <w:szCs w:val="22"/>
        </w:rPr>
        <w:t>rozmezí od 27 % do 35 %. U</w:t>
      </w:r>
      <w:r w:rsidR="00546698">
        <w:rPr>
          <w:sz w:val="22"/>
          <w:szCs w:val="22"/>
        </w:rPr>
        <w:t> </w:t>
      </w:r>
      <w:r w:rsidRPr="002E470D">
        <w:rPr>
          <w:sz w:val="22"/>
          <w:szCs w:val="22"/>
        </w:rPr>
        <w:t>tahačů a</w:t>
      </w:r>
      <w:r w:rsidR="00546698">
        <w:rPr>
          <w:sz w:val="22"/>
          <w:szCs w:val="22"/>
        </w:rPr>
        <w:t> </w:t>
      </w:r>
      <w:r w:rsidRPr="002E470D">
        <w:rPr>
          <w:sz w:val="22"/>
          <w:szCs w:val="22"/>
        </w:rPr>
        <w:t>těžkých LNG vozidel je cenový rozdílu mezi naftou a</w:t>
      </w:r>
      <w:r w:rsidR="00546698">
        <w:rPr>
          <w:sz w:val="22"/>
          <w:szCs w:val="22"/>
        </w:rPr>
        <w:t> </w:t>
      </w:r>
      <w:r w:rsidRPr="002E470D">
        <w:rPr>
          <w:sz w:val="22"/>
          <w:szCs w:val="22"/>
        </w:rPr>
        <w:t>zemním plynem ještě větší a</w:t>
      </w:r>
      <w:r w:rsidR="00546698">
        <w:rPr>
          <w:sz w:val="22"/>
          <w:szCs w:val="22"/>
        </w:rPr>
        <w:t> </w:t>
      </w:r>
      <w:r w:rsidRPr="002E470D">
        <w:rPr>
          <w:sz w:val="22"/>
          <w:szCs w:val="22"/>
        </w:rPr>
        <w:t>dosahuje až 50 %.</w:t>
      </w:r>
    </w:p>
    <w:p w14:paraId="3B98BDC9" w14:textId="77777777" w:rsidR="001B4719" w:rsidRDefault="001B4719" w:rsidP="001B4719">
      <w:pPr>
        <w:pStyle w:val="Default"/>
        <w:jc w:val="both"/>
        <w:rPr>
          <w:sz w:val="22"/>
          <w:szCs w:val="22"/>
        </w:rPr>
      </w:pPr>
    </w:p>
    <w:p w14:paraId="6DB5ABF9" w14:textId="77777777" w:rsidR="001B4719" w:rsidRDefault="001B4719" w:rsidP="001B4719">
      <w:pPr>
        <w:pStyle w:val="Default"/>
        <w:numPr>
          <w:ilvl w:val="0"/>
          <w:numId w:val="20"/>
        </w:numPr>
        <w:ind w:left="0" w:firstLine="0"/>
        <w:jc w:val="both"/>
        <w:rPr>
          <w:sz w:val="22"/>
          <w:szCs w:val="22"/>
        </w:rPr>
      </w:pPr>
      <w:r>
        <w:rPr>
          <w:b/>
          <w:bCs/>
          <w:sz w:val="22"/>
          <w:szCs w:val="22"/>
        </w:rPr>
        <w:t>V</w:t>
      </w:r>
      <w:r w:rsidRPr="007A5D08">
        <w:rPr>
          <w:b/>
          <w:bCs/>
          <w:sz w:val="22"/>
          <w:szCs w:val="22"/>
        </w:rPr>
        <w:t xml:space="preserve">ýznamnou překážkou výroby </w:t>
      </w:r>
      <w:r>
        <w:rPr>
          <w:b/>
          <w:bCs/>
          <w:sz w:val="22"/>
          <w:szCs w:val="22"/>
        </w:rPr>
        <w:t>biometan</w:t>
      </w:r>
      <w:r w:rsidRPr="007A5D08">
        <w:rPr>
          <w:b/>
          <w:bCs/>
          <w:sz w:val="22"/>
          <w:szCs w:val="22"/>
        </w:rPr>
        <w:t xml:space="preserve">u 2. generace je především </w:t>
      </w:r>
      <w:r>
        <w:rPr>
          <w:b/>
          <w:bCs/>
          <w:sz w:val="22"/>
          <w:szCs w:val="22"/>
        </w:rPr>
        <w:t xml:space="preserve">neexistující </w:t>
      </w:r>
      <w:r w:rsidRPr="007A5D08">
        <w:rPr>
          <w:b/>
          <w:bCs/>
          <w:sz w:val="22"/>
          <w:szCs w:val="22"/>
        </w:rPr>
        <w:t>systém záruk původu a</w:t>
      </w:r>
      <w:r w:rsidR="00546698">
        <w:rPr>
          <w:b/>
          <w:bCs/>
          <w:sz w:val="22"/>
          <w:szCs w:val="22"/>
        </w:rPr>
        <w:t> </w:t>
      </w:r>
      <w:r w:rsidRPr="007A5D08">
        <w:rPr>
          <w:b/>
          <w:bCs/>
          <w:sz w:val="22"/>
          <w:szCs w:val="22"/>
        </w:rPr>
        <w:t>chybějící investiční a</w:t>
      </w:r>
      <w:r w:rsidR="00546698">
        <w:rPr>
          <w:b/>
          <w:bCs/>
          <w:sz w:val="22"/>
          <w:szCs w:val="22"/>
        </w:rPr>
        <w:t> </w:t>
      </w:r>
      <w:r w:rsidRPr="007A5D08">
        <w:rPr>
          <w:b/>
          <w:bCs/>
          <w:sz w:val="22"/>
          <w:szCs w:val="22"/>
        </w:rPr>
        <w:t>provozní podpora výstavby bioplynových stanic s</w:t>
      </w:r>
      <w:r w:rsidR="00546698">
        <w:rPr>
          <w:b/>
          <w:bCs/>
          <w:sz w:val="22"/>
          <w:szCs w:val="22"/>
        </w:rPr>
        <w:t> </w:t>
      </w:r>
      <w:r w:rsidRPr="007A5D08">
        <w:rPr>
          <w:b/>
          <w:bCs/>
          <w:sz w:val="22"/>
          <w:szCs w:val="22"/>
        </w:rPr>
        <w:t>povinnou úpravou</w:t>
      </w:r>
      <w:r w:rsidRPr="007A5D08">
        <w:rPr>
          <w:sz w:val="22"/>
          <w:szCs w:val="22"/>
        </w:rPr>
        <w:t xml:space="preserve"> (čištěním) </w:t>
      </w:r>
      <w:r w:rsidRPr="007A5D08">
        <w:rPr>
          <w:b/>
          <w:bCs/>
          <w:sz w:val="22"/>
          <w:szCs w:val="22"/>
        </w:rPr>
        <w:t xml:space="preserve">bioplynu na </w:t>
      </w:r>
      <w:r>
        <w:rPr>
          <w:b/>
          <w:bCs/>
          <w:sz w:val="22"/>
          <w:szCs w:val="22"/>
        </w:rPr>
        <w:t>biometan</w:t>
      </w:r>
      <w:r w:rsidRPr="007A5D08">
        <w:rPr>
          <w:sz w:val="22"/>
          <w:szCs w:val="22"/>
        </w:rPr>
        <w:t xml:space="preserve"> požadované kvality včetně nákladů na připojení výroben </w:t>
      </w:r>
      <w:r>
        <w:rPr>
          <w:sz w:val="22"/>
          <w:szCs w:val="22"/>
        </w:rPr>
        <w:t>biometan</w:t>
      </w:r>
      <w:r w:rsidRPr="007A5D08">
        <w:rPr>
          <w:sz w:val="22"/>
          <w:szCs w:val="22"/>
        </w:rPr>
        <w:t>u do distribuční a</w:t>
      </w:r>
      <w:r w:rsidR="00546698">
        <w:rPr>
          <w:sz w:val="22"/>
          <w:szCs w:val="22"/>
        </w:rPr>
        <w:t> </w:t>
      </w:r>
      <w:r w:rsidRPr="007A5D08">
        <w:rPr>
          <w:sz w:val="22"/>
          <w:szCs w:val="22"/>
        </w:rPr>
        <w:t>přepravní soustavy za účelem jeho vtláčení do plynárenské soustavy ČR.</w:t>
      </w:r>
    </w:p>
    <w:p w14:paraId="6D935522" w14:textId="77777777" w:rsidR="001B4719" w:rsidRPr="007A5D08" w:rsidRDefault="001B4719" w:rsidP="001B4719">
      <w:pPr>
        <w:pStyle w:val="Default"/>
        <w:spacing w:line="276" w:lineRule="auto"/>
        <w:jc w:val="both"/>
        <w:rPr>
          <w:sz w:val="22"/>
          <w:szCs w:val="22"/>
        </w:rPr>
      </w:pPr>
    </w:p>
    <w:p w14:paraId="4835E5EC" w14:textId="2921755A" w:rsidR="001B4719" w:rsidRDefault="001B4719" w:rsidP="001B4719">
      <w:pPr>
        <w:pStyle w:val="Default"/>
        <w:numPr>
          <w:ilvl w:val="0"/>
          <w:numId w:val="20"/>
        </w:numPr>
        <w:ind w:left="0" w:firstLine="0"/>
        <w:jc w:val="both"/>
        <w:rPr>
          <w:rFonts w:asciiTheme="majorHAnsi" w:hAnsiTheme="majorHAnsi" w:cstheme="minorHAnsi"/>
          <w:sz w:val="22"/>
          <w:szCs w:val="22"/>
        </w:rPr>
      </w:pPr>
      <w:r w:rsidRPr="007A5D08">
        <w:rPr>
          <w:b/>
          <w:bCs/>
          <w:sz w:val="22"/>
          <w:szCs w:val="22"/>
        </w:rPr>
        <w:t>Ve snaze iniciovat rozvoj LNG v</w:t>
      </w:r>
      <w:r w:rsidR="00546698">
        <w:rPr>
          <w:b/>
          <w:bCs/>
          <w:sz w:val="22"/>
          <w:szCs w:val="22"/>
        </w:rPr>
        <w:t> </w:t>
      </w:r>
      <w:r w:rsidRPr="007A5D08">
        <w:rPr>
          <w:b/>
          <w:bCs/>
          <w:sz w:val="22"/>
          <w:szCs w:val="22"/>
        </w:rPr>
        <w:t>nákladní dopravě je důležité poskytnout zájemci o</w:t>
      </w:r>
      <w:r w:rsidR="00546698">
        <w:rPr>
          <w:b/>
          <w:bCs/>
          <w:sz w:val="22"/>
          <w:szCs w:val="22"/>
        </w:rPr>
        <w:t> </w:t>
      </w:r>
      <w:r w:rsidRPr="007A5D08">
        <w:rPr>
          <w:b/>
          <w:bCs/>
          <w:sz w:val="22"/>
          <w:szCs w:val="22"/>
        </w:rPr>
        <w:t>nová nákladní vozidla s</w:t>
      </w:r>
      <w:r w:rsidR="00546698">
        <w:rPr>
          <w:b/>
          <w:bCs/>
          <w:sz w:val="22"/>
          <w:szCs w:val="22"/>
        </w:rPr>
        <w:t> </w:t>
      </w:r>
      <w:r w:rsidRPr="007A5D08">
        <w:rPr>
          <w:b/>
          <w:bCs/>
          <w:sz w:val="22"/>
          <w:szCs w:val="22"/>
        </w:rPr>
        <w:t>pohonem na LNG časově omezenou podporu jeho nákupu</w:t>
      </w:r>
      <w:r w:rsidRPr="007A5D08">
        <w:rPr>
          <w:sz w:val="22"/>
          <w:szCs w:val="22"/>
        </w:rPr>
        <w:t xml:space="preserve">. Dotační program pro toto opatření může být </w:t>
      </w:r>
      <w:r w:rsidRPr="007A5D08">
        <w:rPr>
          <w:color w:val="auto"/>
          <w:sz w:val="22"/>
          <w:szCs w:val="22"/>
        </w:rPr>
        <w:t>každoročně revidován dle dostupných rozpočtových prostředků a</w:t>
      </w:r>
      <w:r w:rsidR="00546698">
        <w:rPr>
          <w:color w:val="auto"/>
          <w:sz w:val="22"/>
          <w:szCs w:val="22"/>
        </w:rPr>
        <w:t> </w:t>
      </w:r>
      <w:r w:rsidRPr="007A5D08">
        <w:rPr>
          <w:color w:val="auto"/>
          <w:sz w:val="22"/>
          <w:szCs w:val="22"/>
        </w:rPr>
        <w:t xml:space="preserve">stavu rozvoje flotily vozidel na LNG tuzemských dopravců. </w:t>
      </w:r>
      <w:r w:rsidRPr="007A5D08">
        <w:rPr>
          <w:b/>
          <w:bCs/>
          <w:sz w:val="22"/>
          <w:szCs w:val="22"/>
        </w:rPr>
        <w:t>V</w:t>
      </w:r>
      <w:r w:rsidR="00546698">
        <w:rPr>
          <w:b/>
          <w:bCs/>
          <w:sz w:val="22"/>
          <w:szCs w:val="22"/>
        </w:rPr>
        <w:t> </w:t>
      </w:r>
      <w:r w:rsidRPr="007A5D08">
        <w:rPr>
          <w:b/>
          <w:bCs/>
          <w:sz w:val="22"/>
          <w:szCs w:val="22"/>
        </w:rPr>
        <w:t>rámci zvýšení disponibility vozového parku a</w:t>
      </w:r>
      <w:r w:rsidR="00546698">
        <w:rPr>
          <w:b/>
          <w:bCs/>
          <w:sz w:val="22"/>
          <w:szCs w:val="22"/>
        </w:rPr>
        <w:t> </w:t>
      </w:r>
      <w:r w:rsidRPr="007A5D08">
        <w:rPr>
          <w:b/>
          <w:bCs/>
          <w:sz w:val="22"/>
          <w:szCs w:val="22"/>
        </w:rPr>
        <w:t>podpory provozu nákladních aut na zemní plyn a</w:t>
      </w:r>
      <w:r w:rsidR="00546698">
        <w:rPr>
          <w:b/>
          <w:bCs/>
          <w:sz w:val="22"/>
          <w:szCs w:val="22"/>
        </w:rPr>
        <w:t> </w:t>
      </w:r>
      <w:r w:rsidRPr="007A5D08">
        <w:rPr>
          <w:b/>
          <w:bCs/>
          <w:sz w:val="22"/>
          <w:szCs w:val="22"/>
        </w:rPr>
        <w:t xml:space="preserve">obnovitelný </w:t>
      </w:r>
      <w:r>
        <w:rPr>
          <w:b/>
          <w:bCs/>
          <w:sz w:val="22"/>
          <w:szCs w:val="22"/>
        </w:rPr>
        <w:t>biometan</w:t>
      </w:r>
      <w:r w:rsidRPr="007A5D08">
        <w:rPr>
          <w:b/>
          <w:bCs/>
          <w:sz w:val="22"/>
          <w:szCs w:val="22"/>
        </w:rPr>
        <w:t xml:space="preserve"> </w:t>
      </w:r>
      <w:r w:rsidRPr="007A5D08">
        <w:rPr>
          <w:sz w:val="22"/>
          <w:szCs w:val="22"/>
        </w:rPr>
        <w:t xml:space="preserve">(LNG/bioLNG) </w:t>
      </w:r>
      <w:r w:rsidRPr="007A5D08">
        <w:rPr>
          <w:b/>
          <w:bCs/>
          <w:sz w:val="22"/>
          <w:szCs w:val="22"/>
        </w:rPr>
        <w:t xml:space="preserve">navrhujeme implementovat </w:t>
      </w:r>
      <w:r w:rsidRPr="007A5D08">
        <w:rPr>
          <w:sz w:val="22"/>
          <w:szCs w:val="22"/>
        </w:rPr>
        <w:t xml:space="preserve">(po vzoru Německa) </w:t>
      </w:r>
      <w:r w:rsidRPr="007A5D08">
        <w:rPr>
          <w:b/>
          <w:bCs/>
          <w:sz w:val="22"/>
          <w:szCs w:val="22"/>
        </w:rPr>
        <w:t>úlevu z</w:t>
      </w:r>
      <w:r w:rsidR="00546698">
        <w:rPr>
          <w:b/>
          <w:bCs/>
          <w:sz w:val="22"/>
          <w:szCs w:val="22"/>
        </w:rPr>
        <w:t> </w:t>
      </w:r>
      <w:r w:rsidRPr="007A5D08">
        <w:rPr>
          <w:b/>
          <w:bCs/>
          <w:sz w:val="22"/>
          <w:szCs w:val="22"/>
        </w:rPr>
        <w:t>platby mýtného na dálnicích v</w:t>
      </w:r>
      <w:r w:rsidR="00546698">
        <w:rPr>
          <w:b/>
          <w:bCs/>
          <w:sz w:val="22"/>
          <w:szCs w:val="22"/>
        </w:rPr>
        <w:t> </w:t>
      </w:r>
      <w:r w:rsidRPr="007A5D08">
        <w:rPr>
          <w:b/>
          <w:bCs/>
          <w:sz w:val="22"/>
          <w:szCs w:val="22"/>
        </w:rPr>
        <w:t>ČR</w:t>
      </w:r>
      <w:r w:rsidRPr="007A5D08">
        <w:rPr>
          <w:sz w:val="22"/>
          <w:szCs w:val="22"/>
        </w:rPr>
        <w:t xml:space="preserve"> (úleva v</w:t>
      </w:r>
      <w:r w:rsidR="00667DEF">
        <w:rPr>
          <w:sz w:val="22"/>
          <w:szCs w:val="22"/>
        </w:rPr>
        <w:t> tzv.  „</w:t>
      </w:r>
      <w:r w:rsidRPr="007A5D08">
        <w:rPr>
          <w:sz w:val="22"/>
          <w:szCs w:val="22"/>
        </w:rPr>
        <w:t>poplatku za externí náklady</w:t>
      </w:r>
      <w:r w:rsidR="00667DEF">
        <w:rPr>
          <w:sz w:val="22"/>
          <w:szCs w:val="22"/>
        </w:rPr>
        <w:t>“</w:t>
      </w:r>
      <w:r w:rsidRPr="007A5D08">
        <w:rPr>
          <w:sz w:val="22"/>
          <w:szCs w:val="22"/>
        </w:rPr>
        <w:t xml:space="preserve"> v</w:t>
      </w:r>
      <w:r w:rsidR="00546698">
        <w:rPr>
          <w:sz w:val="22"/>
          <w:szCs w:val="22"/>
        </w:rPr>
        <w:t> </w:t>
      </w:r>
      <w:r w:rsidRPr="007A5D08">
        <w:rPr>
          <w:sz w:val="22"/>
          <w:szCs w:val="22"/>
        </w:rPr>
        <w:t>ekologické části mýtného; německý federální parlament schválil zákon, který osvobozuje elektrická a</w:t>
      </w:r>
      <w:r w:rsidR="00546698">
        <w:rPr>
          <w:sz w:val="22"/>
          <w:szCs w:val="22"/>
        </w:rPr>
        <w:t> </w:t>
      </w:r>
      <w:r w:rsidRPr="007A5D08">
        <w:rPr>
          <w:sz w:val="22"/>
          <w:szCs w:val="22"/>
        </w:rPr>
        <w:t>plynová vozidla od ekologické části dálničních poplatků. Z</w:t>
      </w:r>
      <w:r w:rsidR="00546698">
        <w:rPr>
          <w:sz w:val="22"/>
          <w:szCs w:val="22"/>
        </w:rPr>
        <w:t> </w:t>
      </w:r>
      <w:r w:rsidRPr="007A5D08">
        <w:rPr>
          <w:sz w:val="22"/>
          <w:szCs w:val="22"/>
        </w:rPr>
        <w:t>pohledu čísel se jedná o</w:t>
      </w:r>
      <w:r w:rsidR="00546698">
        <w:rPr>
          <w:sz w:val="22"/>
          <w:szCs w:val="22"/>
        </w:rPr>
        <w:t> </w:t>
      </w:r>
      <w:r w:rsidRPr="007A5D08">
        <w:rPr>
          <w:sz w:val="22"/>
          <w:szCs w:val="22"/>
        </w:rPr>
        <w:t>úsporu 135 </w:t>
      </w:r>
      <w:r w:rsidR="00365E96">
        <w:rPr>
          <w:sz w:val="22"/>
          <w:szCs w:val="22"/>
        </w:rPr>
        <w:t>EUR</w:t>
      </w:r>
      <w:r w:rsidRPr="007A5D08">
        <w:rPr>
          <w:sz w:val="22"/>
          <w:szCs w:val="22"/>
        </w:rPr>
        <w:t xml:space="preserve"> za každých 1 000 km). Vláda ČR předložila návrh na 50 % snížení dálničních poplatků pro elektrická a</w:t>
      </w:r>
      <w:r w:rsidR="00546698">
        <w:rPr>
          <w:sz w:val="22"/>
          <w:szCs w:val="22"/>
        </w:rPr>
        <w:t> </w:t>
      </w:r>
      <w:r w:rsidRPr="007A5D08">
        <w:rPr>
          <w:sz w:val="22"/>
          <w:szCs w:val="22"/>
        </w:rPr>
        <w:t>plynová vozidla s</w:t>
      </w:r>
      <w:r w:rsidR="00546698">
        <w:rPr>
          <w:sz w:val="22"/>
          <w:szCs w:val="22"/>
        </w:rPr>
        <w:t> </w:t>
      </w:r>
      <w:r w:rsidRPr="007A5D08">
        <w:rPr>
          <w:sz w:val="22"/>
          <w:szCs w:val="22"/>
        </w:rPr>
        <w:t>plánovanou platností od roku 2020 a</w:t>
      </w:r>
      <w:r w:rsidR="00546698">
        <w:rPr>
          <w:sz w:val="22"/>
          <w:szCs w:val="22"/>
        </w:rPr>
        <w:t> </w:t>
      </w:r>
      <w:r w:rsidRPr="007A5D08">
        <w:rPr>
          <w:sz w:val="22"/>
          <w:szCs w:val="22"/>
        </w:rPr>
        <w:t>stejně jako v</w:t>
      </w:r>
      <w:r w:rsidR="00546698">
        <w:rPr>
          <w:sz w:val="22"/>
          <w:szCs w:val="22"/>
        </w:rPr>
        <w:t> </w:t>
      </w:r>
      <w:r w:rsidRPr="007A5D08">
        <w:rPr>
          <w:sz w:val="22"/>
          <w:szCs w:val="22"/>
        </w:rPr>
        <w:t>případě Německa i</w:t>
      </w:r>
      <w:r w:rsidR="00546698">
        <w:rPr>
          <w:sz w:val="22"/>
          <w:szCs w:val="22"/>
        </w:rPr>
        <w:t> </w:t>
      </w:r>
      <w:r w:rsidRPr="007A5D08">
        <w:rPr>
          <w:sz w:val="22"/>
          <w:szCs w:val="22"/>
        </w:rPr>
        <w:t>s</w:t>
      </w:r>
      <w:r>
        <w:rPr>
          <w:sz w:val="22"/>
          <w:szCs w:val="22"/>
        </w:rPr>
        <w:t> </w:t>
      </w:r>
      <w:r w:rsidRPr="007A5D08">
        <w:rPr>
          <w:sz w:val="22"/>
          <w:szCs w:val="22"/>
        </w:rPr>
        <w:t>dvouletou platností, zachování snížené spotřební sazby na zemní plyn v</w:t>
      </w:r>
      <w:r w:rsidR="00546698">
        <w:rPr>
          <w:sz w:val="22"/>
          <w:szCs w:val="22"/>
        </w:rPr>
        <w:t> </w:t>
      </w:r>
      <w:r w:rsidRPr="007A5D08">
        <w:rPr>
          <w:sz w:val="22"/>
          <w:szCs w:val="22"/>
        </w:rPr>
        <w:t>dopravě ve smyslu Memoranda z</w:t>
      </w:r>
      <w:r w:rsidR="00546698">
        <w:rPr>
          <w:sz w:val="22"/>
          <w:szCs w:val="22"/>
        </w:rPr>
        <w:t> </w:t>
      </w:r>
      <w:r w:rsidRPr="007A5D08">
        <w:rPr>
          <w:sz w:val="22"/>
          <w:szCs w:val="22"/>
        </w:rPr>
        <w:t>roku 2018 a</w:t>
      </w:r>
      <w:r w:rsidR="00546698">
        <w:rPr>
          <w:sz w:val="22"/>
          <w:szCs w:val="22"/>
        </w:rPr>
        <w:t> </w:t>
      </w:r>
      <w:r w:rsidRPr="007A5D08">
        <w:rPr>
          <w:sz w:val="22"/>
          <w:szCs w:val="22"/>
        </w:rPr>
        <w:t xml:space="preserve">zavedení úlevy od platby silniční daně pro </w:t>
      </w:r>
      <w:r w:rsidRPr="0031310C">
        <w:rPr>
          <w:i/>
          <w:sz w:val="22"/>
        </w:rPr>
        <w:t>čistá</w:t>
      </w:r>
      <w:r w:rsidRPr="007A5D08">
        <w:rPr>
          <w:sz w:val="22"/>
          <w:szCs w:val="22"/>
        </w:rPr>
        <w:t xml:space="preserve"> vozidla nad 12 t</w:t>
      </w:r>
      <w:r w:rsidR="00546698">
        <w:rPr>
          <w:sz w:val="22"/>
          <w:szCs w:val="22"/>
        </w:rPr>
        <w:t> </w:t>
      </w:r>
      <w:r w:rsidRPr="007A5D08">
        <w:rPr>
          <w:sz w:val="22"/>
          <w:szCs w:val="22"/>
        </w:rPr>
        <w:t>(kategorie N2 a</w:t>
      </w:r>
      <w:r w:rsidR="00546698">
        <w:rPr>
          <w:sz w:val="22"/>
          <w:szCs w:val="22"/>
        </w:rPr>
        <w:t> </w:t>
      </w:r>
      <w:r w:rsidRPr="007A5D08">
        <w:rPr>
          <w:sz w:val="22"/>
          <w:szCs w:val="22"/>
        </w:rPr>
        <w:t>N3), ve smyslu zákona č. 16/1993 Sb., o</w:t>
      </w:r>
      <w:r w:rsidR="00546698">
        <w:rPr>
          <w:sz w:val="22"/>
          <w:szCs w:val="22"/>
        </w:rPr>
        <w:t> </w:t>
      </w:r>
      <w:r w:rsidRPr="007A5D08">
        <w:rPr>
          <w:sz w:val="22"/>
          <w:szCs w:val="22"/>
        </w:rPr>
        <w:t>silniční dani.</w:t>
      </w:r>
      <w:r>
        <w:rPr>
          <w:sz w:val="22"/>
          <w:szCs w:val="22"/>
        </w:rPr>
        <w:t xml:space="preserve"> </w:t>
      </w:r>
      <w:r w:rsidRPr="007A5D08">
        <w:rPr>
          <w:b/>
          <w:bCs/>
          <w:sz w:val="22"/>
          <w:szCs w:val="22"/>
        </w:rPr>
        <w:t>Ve všech případech se jedná o</w:t>
      </w:r>
      <w:r w:rsidR="00546698">
        <w:rPr>
          <w:b/>
          <w:bCs/>
          <w:sz w:val="22"/>
          <w:szCs w:val="22"/>
        </w:rPr>
        <w:t> </w:t>
      </w:r>
      <w:r w:rsidRPr="007A5D08">
        <w:rPr>
          <w:b/>
          <w:bCs/>
          <w:sz w:val="22"/>
          <w:szCs w:val="22"/>
        </w:rPr>
        <w:t>časově omezená opatření, vnímaná jako počáteční podpora rozvoje čisté mobility pro vozidla na LNG</w:t>
      </w:r>
      <w:r w:rsidRPr="007A5D08">
        <w:rPr>
          <w:sz w:val="22"/>
          <w:szCs w:val="22"/>
        </w:rPr>
        <w:t xml:space="preserve">. </w:t>
      </w:r>
      <w:r w:rsidRPr="007A5D08">
        <w:rPr>
          <w:b/>
          <w:bCs/>
          <w:sz w:val="22"/>
          <w:szCs w:val="22"/>
        </w:rPr>
        <w:t>Pro firmy, veřejnost a</w:t>
      </w:r>
      <w:r w:rsidR="00546698">
        <w:rPr>
          <w:b/>
          <w:bCs/>
          <w:sz w:val="22"/>
          <w:szCs w:val="22"/>
        </w:rPr>
        <w:t> </w:t>
      </w:r>
      <w:r w:rsidRPr="007A5D08">
        <w:rPr>
          <w:b/>
          <w:bCs/>
          <w:sz w:val="22"/>
          <w:szCs w:val="22"/>
        </w:rPr>
        <w:t>státní organizace to představuje především garanci a</w:t>
      </w:r>
      <w:r w:rsidR="00546698">
        <w:rPr>
          <w:b/>
          <w:bCs/>
          <w:sz w:val="22"/>
          <w:szCs w:val="22"/>
        </w:rPr>
        <w:t> </w:t>
      </w:r>
      <w:r w:rsidRPr="007A5D08">
        <w:rPr>
          <w:b/>
          <w:bCs/>
          <w:sz w:val="22"/>
          <w:szCs w:val="22"/>
        </w:rPr>
        <w:t>předvídatelnost podnikatelského prostředí celého nově se rozvíjejícího segmentu trhu s</w:t>
      </w:r>
      <w:r w:rsidR="00546698">
        <w:rPr>
          <w:b/>
          <w:bCs/>
          <w:sz w:val="22"/>
          <w:szCs w:val="22"/>
        </w:rPr>
        <w:t> </w:t>
      </w:r>
      <w:r w:rsidRPr="007A5D08">
        <w:rPr>
          <w:b/>
          <w:bCs/>
          <w:sz w:val="22"/>
          <w:szCs w:val="22"/>
        </w:rPr>
        <w:t xml:space="preserve">vozy na LNG. </w:t>
      </w:r>
      <w:r w:rsidRPr="007A5D08">
        <w:rPr>
          <w:sz w:val="22"/>
          <w:szCs w:val="22"/>
        </w:rPr>
        <w:t>Polsk</w:t>
      </w:r>
      <w:r>
        <w:rPr>
          <w:sz w:val="22"/>
          <w:szCs w:val="22"/>
        </w:rPr>
        <w:t>o</w:t>
      </w:r>
      <w:r w:rsidRPr="007A5D08">
        <w:rPr>
          <w:sz w:val="22"/>
          <w:szCs w:val="22"/>
        </w:rPr>
        <w:t xml:space="preserve"> v</w:t>
      </w:r>
      <w:r w:rsidR="00546698">
        <w:rPr>
          <w:sz w:val="22"/>
          <w:szCs w:val="22"/>
        </w:rPr>
        <w:t> </w:t>
      </w:r>
      <w:r w:rsidRPr="007A5D08">
        <w:rPr>
          <w:sz w:val="22"/>
          <w:szCs w:val="22"/>
        </w:rPr>
        <w:t>loňském roce také přijal</w:t>
      </w:r>
      <w:r>
        <w:rPr>
          <w:sz w:val="22"/>
          <w:szCs w:val="22"/>
        </w:rPr>
        <w:t>o</w:t>
      </w:r>
      <w:r w:rsidRPr="007A5D08">
        <w:rPr>
          <w:sz w:val="22"/>
          <w:szCs w:val="22"/>
        </w:rPr>
        <w:t xml:space="preserve"> zákon o</w:t>
      </w:r>
      <w:r w:rsidR="00546698">
        <w:rPr>
          <w:sz w:val="22"/>
          <w:szCs w:val="22"/>
        </w:rPr>
        <w:t> </w:t>
      </w:r>
      <w:r w:rsidRPr="007A5D08">
        <w:rPr>
          <w:sz w:val="22"/>
          <w:szCs w:val="22"/>
        </w:rPr>
        <w:t>nulové sazbě spotřební daně pro tento typ vozidel.</w:t>
      </w:r>
    </w:p>
    <w:p w14:paraId="56C27037" w14:textId="77777777" w:rsidR="001B4719" w:rsidRDefault="001B4719" w:rsidP="001B4719">
      <w:pPr>
        <w:pStyle w:val="Nadpis3"/>
        <w:numPr>
          <w:ilvl w:val="2"/>
          <w:numId w:val="9"/>
        </w:numPr>
        <w:tabs>
          <w:tab w:val="left" w:pos="851"/>
          <w:tab w:val="num" w:pos="2411"/>
        </w:tabs>
        <w:ind w:left="284" w:firstLine="0"/>
        <w:jc w:val="both"/>
      </w:pPr>
      <w:bookmarkStart w:id="343" w:name="_Toc13685877"/>
      <w:bookmarkStart w:id="344" w:name="_Toc13753770"/>
      <w:bookmarkStart w:id="345" w:name="_Toc19792336"/>
      <w:bookmarkStart w:id="346" w:name="_Toc25084480"/>
      <w:bookmarkStart w:id="347" w:name="_Toc25136807"/>
      <w:bookmarkStart w:id="348" w:name="_Toc34295932"/>
      <w:r>
        <w:t>Legislativa v</w:t>
      </w:r>
      <w:r w:rsidR="00546698">
        <w:t> </w:t>
      </w:r>
      <w:r>
        <w:t>oblasti CNG/LNG</w:t>
      </w:r>
      <w:bookmarkEnd w:id="343"/>
      <w:bookmarkEnd w:id="344"/>
      <w:bookmarkEnd w:id="345"/>
      <w:bookmarkEnd w:id="346"/>
      <w:bookmarkEnd w:id="347"/>
      <w:bookmarkEnd w:id="348"/>
    </w:p>
    <w:p w14:paraId="7C57D3E1" w14:textId="77777777" w:rsidR="001B4719" w:rsidRPr="00FF1C2A" w:rsidRDefault="001B4719" w:rsidP="001B4719">
      <w:pPr>
        <w:jc w:val="both"/>
        <w:rPr>
          <w:b/>
          <w:bCs/>
          <w:u w:val="single"/>
        </w:rPr>
      </w:pPr>
      <w:bookmarkStart w:id="349" w:name="_Toc13685878"/>
      <w:bookmarkStart w:id="350" w:name="_Toc13753771"/>
      <w:r>
        <w:rPr>
          <w:b/>
          <w:bCs/>
          <w:u w:val="single"/>
        </w:rPr>
        <w:t>L</w:t>
      </w:r>
      <w:r w:rsidRPr="00FF1C2A">
        <w:rPr>
          <w:b/>
          <w:bCs/>
          <w:u w:val="single"/>
        </w:rPr>
        <w:t>egislativa</w:t>
      </w:r>
      <w:r>
        <w:rPr>
          <w:b/>
          <w:bCs/>
          <w:u w:val="single"/>
        </w:rPr>
        <w:t xml:space="preserve"> ČR</w:t>
      </w:r>
    </w:p>
    <w:p w14:paraId="50686024" w14:textId="77777777" w:rsidR="001B4719" w:rsidRPr="00FF1C2A" w:rsidRDefault="001B4719" w:rsidP="001B4719">
      <w:pPr>
        <w:jc w:val="both"/>
        <w:rPr>
          <w:b/>
        </w:rPr>
      </w:pPr>
      <w:r w:rsidRPr="00FF1C2A">
        <w:rPr>
          <w:b/>
        </w:rPr>
        <w:t>Zákon č. 261/2007 Sb., o</w:t>
      </w:r>
      <w:r w:rsidR="00546698">
        <w:rPr>
          <w:b/>
        </w:rPr>
        <w:t> </w:t>
      </w:r>
      <w:r w:rsidRPr="00FF1C2A">
        <w:rPr>
          <w:b/>
        </w:rPr>
        <w:t xml:space="preserve">stabilizaci veřejných rozpočtů </w:t>
      </w:r>
    </w:p>
    <w:p w14:paraId="4F3D133A" w14:textId="77777777" w:rsidR="001B4719" w:rsidRPr="00FF1C2A" w:rsidRDefault="001B4719" w:rsidP="001B4719">
      <w:pPr>
        <w:pStyle w:val="Odrka1"/>
        <w:jc w:val="both"/>
      </w:pPr>
      <w:r>
        <w:t xml:space="preserve">I </w:t>
      </w:r>
      <w:r w:rsidRPr="00FF1C2A">
        <w:t>po roce 2025 zachovat sníženou sazbu daně pro zemní plyn určený pro pohon motorů, která nepřekročí hranici 290 Kč za megawatthodinu.</w:t>
      </w:r>
    </w:p>
    <w:p w14:paraId="75178337" w14:textId="77777777" w:rsidR="001B4719" w:rsidRPr="00FF1C2A" w:rsidRDefault="001B4719" w:rsidP="001B4719">
      <w:pPr>
        <w:pStyle w:val="Odrka1"/>
        <w:jc w:val="both"/>
      </w:pPr>
      <w:r w:rsidRPr="00FF1C2A">
        <w:t xml:space="preserve">Zrušit spotřební daň na </w:t>
      </w:r>
      <w:r>
        <w:t>biometan</w:t>
      </w:r>
      <w:r w:rsidRPr="00FF1C2A">
        <w:t xml:space="preserve"> vtláčený do distribuční soustavy</w:t>
      </w:r>
    </w:p>
    <w:p w14:paraId="2211CB72" w14:textId="77777777" w:rsidR="001B4719" w:rsidRPr="00FF1C2A" w:rsidRDefault="001B4719" w:rsidP="001B4719">
      <w:pPr>
        <w:jc w:val="both"/>
        <w:rPr>
          <w:rFonts w:cs="Arial"/>
          <w:b/>
          <w:bCs/>
        </w:rPr>
      </w:pPr>
      <w:r w:rsidRPr="00FF1C2A">
        <w:rPr>
          <w:rFonts w:cs="Arial"/>
          <w:b/>
          <w:bCs/>
        </w:rPr>
        <w:t>Zákon č. 165/2012 Sb., o</w:t>
      </w:r>
      <w:r w:rsidR="00546698">
        <w:rPr>
          <w:rFonts w:cs="Arial"/>
          <w:b/>
          <w:bCs/>
        </w:rPr>
        <w:t> </w:t>
      </w:r>
      <w:r w:rsidRPr="00FF1C2A">
        <w:rPr>
          <w:rFonts w:cs="Arial"/>
          <w:b/>
          <w:bCs/>
        </w:rPr>
        <w:t>podpoře obnovitelných zdrojů</w:t>
      </w:r>
    </w:p>
    <w:p w14:paraId="1FB68EA3" w14:textId="77777777" w:rsidR="001B4719" w:rsidRPr="00FF1C2A" w:rsidRDefault="001B4719" w:rsidP="001B4719">
      <w:pPr>
        <w:pStyle w:val="Odrka1"/>
        <w:jc w:val="both"/>
      </w:pPr>
      <w:r w:rsidRPr="00FF1C2A">
        <w:rPr>
          <w:b/>
        </w:rPr>
        <w:t xml:space="preserve">Nezbytnou podmínkou pro zajištění disponibility </w:t>
      </w:r>
      <w:r>
        <w:rPr>
          <w:b/>
        </w:rPr>
        <w:t>biometan</w:t>
      </w:r>
      <w:r w:rsidRPr="00FF1C2A">
        <w:rPr>
          <w:b/>
        </w:rPr>
        <w:t>u 2. generace je zavedení systému záruk původu a</w:t>
      </w:r>
      <w:r w:rsidR="00546698">
        <w:rPr>
          <w:b/>
        </w:rPr>
        <w:t> </w:t>
      </w:r>
      <w:r w:rsidRPr="00FF1C2A">
        <w:rPr>
          <w:b/>
        </w:rPr>
        <w:t>významnou překážkou výroby je především chybějící investiční a</w:t>
      </w:r>
      <w:r w:rsidR="00546698">
        <w:rPr>
          <w:b/>
        </w:rPr>
        <w:t> </w:t>
      </w:r>
      <w:r w:rsidRPr="00FF1C2A">
        <w:rPr>
          <w:b/>
        </w:rPr>
        <w:t>provozní podpora výstavby bioplynových stanic s</w:t>
      </w:r>
      <w:r w:rsidR="00546698">
        <w:rPr>
          <w:b/>
        </w:rPr>
        <w:t> </w:t>
      </w:r>
      <w:r w:rsidRPr="00FF1C2A">
        <w:rPr>
          <w:b/>
        </w:rPr>
        <w:t>povinnou úpravou (</w:t>
      </w:r>
      <w:r w:rsidRPr="00FF1C2A">
        <w:t>čištěním</w:t>
      </w:r>
      <w:r w:rsidRPr="00FF1C2A">
        <w:rPr>
          <w:b/>
        </w:rPr>
        <w:t xml:space="preserve">) bioplynu na </w:t>
      </w:r>
      <w:r>
        <w:rPr>
          <w:b/>
        </w:rPr>
        <w:t>biometan</w:t>
      </w:r>
      <w:r w:rsidRPr="00FF1C2A">
        <w:t xml:space="preserve"> požadované kvality včetně nákladů na připojení výroben </w:t>
      </w:r>
      <w:r>
        <w:lastRenderedPageBreak/>
        <w:t>biometan</w:t>
      </w:r>
      <w:r w:rsidRPr="00FF1C2A">
        <w:t>u do distribuční a</w:t>
      </w:r>
      <w:r w:rsidR="00546698">
        <w:t> </w:t>
      </w:r>
      <w:r w:rsidRPr="00FF1C2A">
        <w:t>přepravní soustavy za účelem jeho vtláčení do plynárenské soustavy ČR (např. Vyhláška č. 62/2011 Sb.)</w:t>
      </w:r>
    </w:p>
    <w:p w14:paraId="398ABBDD" w14:textId="77777777" w:rsidR="001B4719" w:rsidRPr="00FF1C2A" w:rsidRDefault="001B4719" w:rsidP="001B4719">
      <w:pPr>
        <w:jc w:val="both"/>
        <w:rPr>
          <w:b/>
        </w:rPr>
      </w:pPr>
      <w:r w:rsidRPr="00FF1C2A">
        <w:rPr>
          <w:b/>
        </w:rPr>
        <w:t>Stavební předpisy</w:t>
      </w:r>
    </w:p>
    <w:p w14:paraId="1A55CD0D" w14:textId="77777777" w:rsidR="001B4719" w:rsidRPr="00FF1C2A" w:rsidRDefault="001B4719" w:rsidP="001B4719">
      <w:pPr>
        <w:jc w:val="both"/>
      </w:pPr>
      <w:r w:rsidRPr="00FF1C2A">
        <w:t>Novelizovat stavební předpisy a</w:t>
      </w:r>
      <w:r w:rsidR="00546698">
        <w:t> </w:t>
      </w:r>
      <w:r w:rsidRPr="00FF1C2A">
        <w:t>související podzákonné předpisy s</w:t>
      </w:r>
      <w:r w:rsidR="00546698">
        <w:t> </w:t>
      </w:r>
      <w:r w:rsidRPr="00FF1C2A">
        <w:t>cílem odstranit omezující podmínky pro garážování CNG vozidel</w:t>
      </w:r>
    </w:p>
    <w:p w14:paraId="68A8354D" w14:textId="77777777" w:rsidR="001B4719" w:rsidRPr="00FF1C2A" w:rsidRDefault="001B4719" w:rsidP="001B4719">
      <w:pPr>
        <w:jc w:val="both"/>
        <w:rPr>
          <w:rFonts w:eastAsiaTheme="minorHAnsi"/>
          <w:b/>
          <w:lang w:eastAsia="en-US"/>
        </w:rPr>
      </w:pPr>
      <w:r w:rsidRPr="00FF1C2A">
        <w:rPr>
          <w:rFonts w:eastAsiaTheme="minorHAnsi"/>
          <w:b/>
          <w:lang w:eastAsia="en-US"/>
        </w:rPr>
        <w:t>Zákon č. 96/193 Sb. o</w:t>
      </w:r>
      <w:r w:rsidR="00546698">
        <w:rPr>
          <w:rFonts w:eastAsiaTheme="minorHAnsi"/>
          <w:b/>
          <w:lang w:eastAsia="en-US"/>
        </w:rPr>
        <w:t> </w:t>
      </w:r>
      <w:r w:rsidRPr="00FF1C2A">
        <w:rPr>
          <w:rFonts w:eastAsiaTheme="minorHAnsi"/>
          <w:b/>
          <w:lang w:eastAsia="en-US"/>
        </w:rPr>
        <w:t>silniční daní</w:t>
      </w:r>
    </w:p>
    <w:p w14:paraId="1811B30D" w14:textId="77777777" w:rsidR="001B4719" w:rsidRPr="00FF1C2A" w:rsidRDefault="001B4719" w:rsidP="001B4719">
      <w:pPr>
        <w:pStyle w:val="Odrka1"/>
        <w:jc w:val="both"/>
        <w:rPr>
          <w:rFonts w:eastAsiaTheme="minorHAnsi"/>
          <w:lang w:eastAsia="en-US"/>
        </w:rPr>
      </w:pPr>
      <w:r w:rsidRPr="00FF1C2A">
        <w:rPr>
          <w:rFonts w:eastAsiaTheme="minorHAnsi"/>
          <w:lang w:eastAsia="en-US"/>
        </w:rPr>
        <w:t>Úleva části mýta pro LNG vozidla nad 12t HDVs</w:t>
      </w:r>
    </w:p>
    <w:p w14:paraId="7A0EB8A9" w14:textId="77777777" w:rsidR="001B4719" w:rsidRDefault="001B4719" w:rsidP="001B4719">
      <w:pPr>
        <w:pStyle w:val="Odrka1"/>
        <w:jc w:val="both"/>
        <w:rPr>
          <w:rFonts w:eastAsiaTheme="minorHAnsi"/>
          <w:lang w:eastAsia="en-US"/>
        </w:rPr>
      </w:pPr>
      <w:r w:rsidRPr="00FF1C2A">
        <w:rPr>
          <w:rFonts w:eastAsiaTheme="minorHAnsi"/>
          <w:lang w:eastAsia="en-US"/>
        </w:rPr>
        <w:t>Úleva části daně pro LNG vozidla nad 12t</w:t>
      </w:r>
    </w:p>
    <w:p w14:paraId="21CF1B6A" w14:textId="77777777" w:rsidR="001B4719" w:rsidRPr="0050685D" w:rsidRDefault="001B4719" w:rsidP="001B4719">
      <w:pPr>
        <w:pStyle w:val="Nadpis2"/>
        <w:numPr>
          <w:ilvl w:val="1"/>
          <w:numId w:val="9"/>
        </w:numPr>
        <w:jc w:val="both"/>
      </w:pPr>
      <w:bookmarkStart w:id="351" w:name="_Toc13685886"/>
      <w:bookmarkStart w:id="352" w:name="_Toc13753783"/>
      <w:bookmarkStart w:id="353" w:name="_Toc19792337"/>
      <w:bookmarkStart w:id="354" w:name="_Toc25067657"/>
      <w:bookmarkStart w:id="355" w:name="_Toc25084481"/>
      <w:bookmarkStart w:id="356" w:name="_Toc25136808"/>
      <w:bookmarkStart w:id="357" w:name="_Toc34295933"/>
      <w:bookmarkEnd w:id="349"/>
      <w:bookmarkEnd w:id="350"/>
      <w:r w:rsidRPr="0050685D">
        <w:t>Predikce vývoje (zemní plyn)</w:t>
      </w:r>
      <w:bookmarkEnd w:id="351"/>
      <w:bookmarkEnd w:id="352"/>
      <w:bookmarkEnd w:id="353"/>
      <w:bookmarkEnd w:id="354"/>
      <w:bookmarkEnd w:id="355"/>
      <w:bookmarkEnd w:id="356"/>
      <w:bookmarkEnd w:id="357"/>
    </w:p>
    <w:p w14:paraId="215B7A44" w14:textId="77777777" w:rsidR="001B4719" w:rsidRPr="0050685D" w:rsidRDefault="001B4719" w:rsidP="001B4719">
      <w:pPr>
        <w:jc w:val="both"/>
        <w:rPr>
          <w:b/>
          <w:bCs/>
        </w:rPr>
      </w:pPr>
      <w:r w:rsidRPr="0050685D">
        <w:t>Predikce vývoje vozového parku aut s</w:t>
      </w:r>
      <w:r w:rsidR="00546698">
        <w:t> </w:t>
      </w:r>
      <w:r w:rsidRPr="0050685D">
        <w:t>pohonem na zemní plyn a</w:t>
      </w:r>
      <w:r w:rsidR="00546698">
        <w:t> </w:t>
      </w:r>
      <w:r>
        <w:t>biometan</w:t>
      </w:r>
      <w:r w:rsidRPr="0050685D">
        <w:t xml:space="preserve"> vychází ze</w:t>
      </w:r>
      <w:r>
        <w:t> </w:t>
      </w:r>
      <w:r w:rsidRPr="0050685D">
        <w:t>současného vývoje trhu v</w:t>
      </w:r>
      <w:r w:rsidR="00546698">
        <w:t> </w:t>
      </w:r>
      <w:r w:rsidRPr="0050685D">
        <w:t>ČR, jeho potenciálu, existujících podpor ze strany státu a</w:t>
      </w:r>
      <w:r w:rsidR="00546698">
        <w:t> </w:t>
      </w:r>
      <w:r w:rsidRPr="0050685D">
        <w:t>je</w:t>
      </w:r>
      <w:r>
        <w:t> </w:t>
      </w:r>
      <w:r w:rsidRPr="0050685D">
        <w:t>ovlivněna rychlým vývojem politik EU v</w:t>
      </w:r>
      <w:r w:rsidR="00546698">
        <w:t> </w:t>
      </w:r>
      <w:r w:rsidRPr="0050685D">
        <w:t>oblasti snižování emisí v</w:t>
      </w:r>
      <w:r w:rsidR="00546698">
        <w:t> </w:t>
      </w:r>
      <w:r w:rsidRPr="0050685D">
        <w:t>dopravě, a</w:t>
      </w:r>
      <w:r w:rsidR="00546698">
        <w:t> </w:t>
      </w:r>
      <w:r w:rsidRPr="0050685D">
        <w:t>především sílícím tlakem na rozvoj elektromobility. Vývoj vozového parku následně určuje předpokládané objemy spotřeby paliva a</w:t>
      </w:r>
      <w:r w:rsidR="00546698">
        <w:t> </w:t>
      </w:r>
      <w:r w:rsidRPr="0050685D">
        <w:t>množství emisí CO</w:t>
      </w:r>
      <w:r w:rsidRPr="0050685D">
        <w:rPr>
          <w:vertAlign w:val="subscript"/>
        </w:rPr>
        <w:t>2</w:t>
      </w:r>
      <w:r w:rsidRPr="0050685D">
        <w:t xml:space="preserve">. </w:t>
      </w:r>
      <w:r w:rsidRPr="0050685D">
        <w:rPr>
          <w:b/>
          <w:bCs/>
        </w:rPr>
        <w:t>Předpoklady vývoje užití zemního plynu a</w:t>
      </w:r>
      <w:r w:rsidR="00546698">
        <w:rPr>
          <w:b/>
          <w:bCs/>
        </w:rPr>
        <w:t> </w:t>
      </w:r>
      <w:r>
        <w:rPr>
          <w:b/>
          <w:bCs/>
        </w:rPr>
        <w:t>biometan</w:t>
      </w:r>
      <w:r w:rsidRPr="0050685D">
        <w:rPr>
          <w:b/>
          <w:bCs/>
        </w:rPr>
        <w:t>u v</w:t>
      </w:r>
      <w:r w:rsidR="00546698">
        <w:rPr>
          <w:b/>
          <w:bCs/>
        </w:rPr>
        <w:t> </w:t>
      </w:r>
      <w:r w:rsidRPr="0050685D">
        <w:rPr>
          <w:b/>
          <w:bCs/>
        </w:rPr>
        <w:t>dopravě v</w:t>
      </w:r>
      <w:r w:rsidR="00546698">
        <w:rPr>
          <w:b/>
          <w:bCs/>
        </w:rPr>
        <w:t> </w:t>
      </w:r>
      <w:r w:rsidRPr="0050685D">
        <w:rPr>
          <w:b/>
          <w:bCs/>
        </w:rPr>
        <w:t>České republice jsou zpracovány ve třech variantách do roku 2030 s</w:t>
      </w:r>
      <w:r w:rsidR="00546698">
        <w:rPr>
          <w:b/>
          <w:bCs/>
        </w:rPr>
        <w:t> </w:t>
      </w:r>
      <w:r w:rsidRPr="0050685D">
        <w:rPr>
          <w:b/>
          <w:bCs/>
        </w:rPr>
        <w:t>výhledem do roku 2050.</w:t>
      </w:r>
    </w:p>
    <w:p w14:paraId="4D6E447D" w14:textId="77777777" w:rsidR="001B4719" w:rsidRPr="0012585D" w:rsidRDefault="001B4719" w:rsidP="001B4719">
      <w:pPr>
        <w:pStyle w:val="Nadpis3"/>
        <w:numPr>
          <w:ilvl w:val="2"/>
          <w:numId w:val="9"/>
        </w:numPr>
        <w:tabs>
          <w:tab w:val="left" w:pos="851"/>
          <w:tab w:val="num" w:pos="2411"/>
        </w:tabs>
        <w:ind w:left="284" w:firstLine="0"/>
        <w:jc w:val="both"/>
      </w:pPr>
      <w:bookmarkStart w:id="358" w:name="_Toc13685887"/>
      <w:bookmarkStart w:id="359" w:name="_Toc13753784"/>
      <w:bookmarkStart w:id="360" w:name="_Toc19792338"/>
      <w:bookmarkStart w:id="361" w:name="_Toc25084482"/>
      <w:bookmarkStart w:id="362" w:name="_Toc25136809"/>
      <w:bookmarkStart w:id="363" w:name="_Toc34295934"/>
      <w:r w:rsidRPr="0012585D">
        <w:t>Charakteristika a</w:t>
      </w:r>
      <w:r w:rsidR="00546698">
        <w:t> </w:t>
      </w:r>
      <w:r w:rsidRPr="0012585D">
        <w:t>předpoklady jednotlivých variant</w:t>
      </w:r>
      <w:bookmarkEnd w:id="358"/>
      <w:bookmarkEnd w:id="359"/>
      <w:bookmarkEnd w:id="360"/>
      <w:bookmarkEnd w:id="361"/>
      <w:bookmarkEnd w:id="362"/>
      <w:bookmarkEnd w:id="363"/>
    </w:p>
    <w:p w14:paraId="1A465BAF" w14:textId="77777777" w:rsidR="001B4719" w:rsidRPr="005075EF" w:rsidRDefault="001B4719" w:rsidP="001B4719">
      <w:pPr>
        <w:spacing w:after="0"/>
        <w:jc w:val="both"/>
        <w:rPr>
          <w:rFonts w:cs="Arial"/>
          <w:b/>
          <w:u w:val="single"/>
        </w:rPr>
      </w:pPr>
      <w:r w:rsidRPr="005075EF">
        <w:rPr>
          <w:rFonts w:cs="Arial"/>
          <w:b/>
          <w:u w:val="single"/>
        </w:rPr>
        <w:t>Varianta PROAKTIVNÍ (V – PA) vychází z</w:t>
      </w:r>
      <w:r w:rsidR="00546698">
        <w:rPr>
          <w:rFonts w:cs="Arial"/>
          <w:b/>
          <w:u w:val="single"/>
        </w:rPr>
        <w:t> </w:t>
      </w:r>
      <w:r w:rsidRPr="005075EF">
        <w:rPr>
          <w:rFonts w:cs="Arial"/>
          <w:b/>
          <w:u w:val="single"/>
        </w:rPr>
        <w:t>předpokladů:</w:t>
      </w:r>
    </w:p>
    <w:p w14:paraId="18380E1C" w14:textId="77777777" w:rsidR="001B4719" w:rsidRDefault="001B4719" w:rsidP="001B4719">
      <w:pPr>
        <w:pStyle w:val="Odrkyabc"/>
        <w:numPr>
          <w:ilvl w:val="0"/>
          <w:numId w:val="28"/>
        </w:numPr>
        <w:jc w:val="both"/>
      </w:pPr>
      <w:r w:rsidRPr="005075EF">
        <w:t>Existující podpora státu bude zachovaná v</w:t>
      </w:r>
      <w:r w:rsidR="00546698">
        <w:t> </w:t>
      </w:r>
      <w:r w:rsidRPr="005075EF">
        <w:t>plné míře i</w:t>
      </w:r>
      <w:r w:rsidR="00546698">
        <w:t> </w:t>
      </w:r>
      <w:r w:rsidRPr="005075EF">
        <w:t>po roce 2025 (zde se jedná především o</w:t>
      </w:r>
      <w:r w:rsidR="00546698">
        <w:t> </w:t>
      </w:r>
      <w:r w:rsidRPr="005075EF">
        <w:t>zachování nulová silniční daně pro vozidla na ZP, sníženou sazbu dálniční známky a</w:t>
      </w:r>
      <w:r w:rsidR="00546698">
        <w:t> </w:t>
      </w:r>
      <w:r w:rsidRPr="005075EF">
        <w:t>prodloužení snížené spotřební daně na zemní plyn pro dopravu po roce 2025 - MoU). Bude zachovaná i</w:t>
      </w:r>
      <w:r w:rsidR="00546698">
        <w:t> </w:t>
      </w:r>
      <w:r w:rsidRPr="005075EF">
        <w:t>podpora nákupu vozidel pro stát a</w:t>
      </w:r>
      <w:r w:rsidR="00546698">
        <w:t> </w:t>
      </w:r>
      <w:r w:rsidRPr="005075EF">
        <w:t>státem řízené organizace a</w:t>
      </w:r>
      <w:r w:rsidR="00546698">
        <w:t> </w:t>
      </w:r>
      <w:r w:rsidRPr="005075EF">
        <w:t>podpora nákupu autobusů na CNG (v rámci IROP). Z</w:t>
      </w:r>
      <w:r w:rsidR="00546698">
        <w:t> </w:t>
      </w:r>
      <w:r w:rsidRPr="005075EF">
        <w:t>pozice státu dojde k</w:t>
      </w:r>
      <w:r w:rsidR="00546698">
        <w:t> </w:t>
      </w:r>
      <w:r w:rsidRPr="005075EF">
        <w:t>odstranění přetrvávajících bariér v</w:t>
      </w:r>
      <w:r w:rsidR="00546698">
        <w:t> </w:t>
      </w:r>
      <w:r w:rsidRPr="005075EF">
        <w:t>oblasti garážování, a</w:t>
      </w:r>
      <w:r w:rsidR="00546698">
        <w:t> </w:t>
      </w:r>
      <w:r w:rsidRPr="005075EF">
        <w:t>to nejpozději do roku 2022. Maximální využití dotací z</w:t>
      </w:r>
      <w:r w:rsidR="00546698">
        <w:t> </w:t>
      </w:r>
      <w:r w:rsidRPr="005075EF">
        <w:t>rozvojových programů EU pro rozvoj čisté dopravy prostřednictvím plynných paliv. Nad rámec toho budou přijaty nové pobídky především za účelem zvýšení podílu LNG/CNG v</w:t>
      </w:r>
      <w:r w:rsidR="00546698">
        <w:t> </w:t>
      </w:r>
      <w:r w:rsidRPr="005075EF">
        <w:t>nákladní dopravy (např. určitá úleva z</w:t>
      </w:r>
      <w:r w:rsidR="00546698">
        <w:t> </w:t>
      </w:r>
      <w:r w:rsidRPr="005075EF">
        <w:t>placení mýta, zavedení snížené sazby silniční daně pro vozidla nad 12</w:t>
      </w:r>
      <w:r>
        <w:t> </w:t>
      </w:r>
      <w:r w:rsidRPr="005075EF">
        <w:t>t</w:t>
      </w:r>
      <w:r w:rsidR="00546698">
        <w:t> </w:t>
      </w:r>
      <w:r w:rsidRPr="005075EF">
        <w:t>apod.)</w:t>
      </w:r>
      <w:bookmarkStart w:id="364" w:name="_Toc18497401"/>
      <w:bookmarkEnd w:id="364"/>
    </w:p>
    <w:p w14:paraId="3982113A" w14:textId="77777777" w:rsidR="001B4719" w:rsidRDefault="001B4719" w:rsidP="001B4719">
      <w:pPr>
        <w:pStyle w:val="Odrkyabc"/>
        <w:numPr>
          <w:ilvl w:val="0"/>
          <w:numId w:val="12"/>
        </w:numPr>
        <w:jc w:val="both"/>
      </w:pPr>
      <w:r w:rsidRPr="005075EF">
        <w:t>Konzervativní zákazník bude upřednostňovat nákup auta, se kterými má dobrou zkušenost (auta na kapalná a</w:t>
      </w:r>
      <w:r w:rsidR="00546698">
        <w:t> </w:t>
      </w:r>
      <w:r w:rsidRPr="005075EF">
        <w:t>plynná paliva včetně aut na CNG, LNG a</w:t>
      </w:r>
      <w:r w:rsidR="00546698">
        <w:t> </w:t>
      </w:r>
      <w:r w:rsidRPr="005075EF">
        <w:t>LPG), období 2020 až 2030 bude v</w:t>
      </w:r>
      <w:r w:rsidR="00546698">
        <w:t> </w:t>
      </w:r>
      <w:r w:rsidRPr="005075EF">
        <w:t>ČR charakterizovat nasycený vozový park s</w:t>
      </w:r>
      <w:r w:rsidR="00546698">
        <w:t> </w:t>
      </w:r>
      <w:r w:rsidRPr="005075EF">
        <w:t>prodlužujícím se stářím aut (pos</w:t>
      </w:r>
      <w:r>
        <w:t>í</w:t>
      </w:r>
      <w:r w:rsidRPr="005075EF">
        <w:t>lí se dovoz levných ojetin ze zahraničí), což ve svém důsledku bude zpomalovat očekávané prodeje elektromobilů.</w:t>
      </w:r>
      <w:bookmarkStart w:id="365" w:name="_Toc18497402"/>
      <w:bookmarkEnd w:id="365"/>
    </w:p>
    <w:p w14:paraId="4DDBBBBB" w14:textId="77777777" w:rsidR="001B4719" w:rsidRDefault="001B4719" w:rsidP="001B4719">
      <w:pPr>
        <w:pStyle w:val="Odrkyabc"/>
        <w:numPr>
          <w:ilvl w:val="0"/>
          <w:numId w:val="12"/>
        </w:numPr>
        <w:jc w:val="both"/>
      </w:pPr>
      <w:r w:rsidRPr="005075EF">
        <w:t>Varianta předpokládá udržení dosavadního tempa růstu. Díky výhodám a</w:t>
      </w:r>
      <w:r w:rsidR="00546698">
        <w:t> </w:t>
      </w:r>
      <w:r w:rsidRPr="005075EF">
        <w:t>přednostem CNG a</w:t>
      </w:r>
      <w:r w:rsidR="00546698">
        <w:t> </w:t>
      </w:r>
      <w:r w:rsidRPr="005075EF">
        <w:t>LNG bude u</w:t>
      </w:r>
      <w:r w:rsidR="00546698">
        <w:t> </w:t>
      </w:r>
      <w:r w:rsidRPr="005075EF">
        <w:t>řidičů trvat obliba používat tato auta, která si získají další zájemce z</w:t>
      </w:r>
      <w:r w:rsidR="00546698">
        <w:t> </w:t>
      </w:r>
      <w:r w:rsidRPr="005075EF">
        <w:t>řad sympatizantů s</w:t>
      </w:r>
      <w:r w:rsidR="00546698">
        <w:t> </w:t>
      </w:r>
      <w:r w:rsidRPr="005075EF">
        <w:t xml:space="preserve">čistou mobilitou - objemy pokročilého </w:t>
      </w:r>
      <w:r>
        <w:t>biometan</w:t>
      </w:r>
      <w:r w:rsidRPr="005075EF">
        <w:t>u v</w:t>
      </w:r>
      <w:r w:rsidR="00546698">
        <w:t> </w:t>
      </w:r>
      <w:r w:rsidRPr="005075EF">
        <w:t>dopravě více zatraktivní použití „čistých aut“ právě využívajících bioCNG a</w:t>
      </w:r>
      <w:r w:rsidR="00546698">
        <w:t> </w:t>
      </w:r>
      <w:r w:rsidRPr="005075EF">
        <w:t xml:space="preserve">bioLNG. Tomuto trendu velkou měrou napomůže stále se rozvíjející infrastruktura plnicích stanic CNG, která je již dnes vnímána jako dostatečná. </w:t>
      </w:r>
      <w:bookmarkStart w:id="366" w:name="_Toc18497403"/>
      <w:bookmarkEnd w:id="366"/>
    </w:p>
    <w:p w14:paraId="01BDD0BA" w14:textId="77777777" w:rsidR="001B4719" w:rsidRDefault="001B4719" w:rsidP="001B4719">
      <w:pPr>
        <w:pStyle w:val="Odrkyabc"/>
        <w:numPr>
          <w:ilvl w:val="0"/>
          <w:numId w:val="12"/>
        </w:numPr>
        <w:jc w:val="both"/>
      </w:pPr>
      <w:r w:rsidRPr="005075EF">
        <w:t>Výrobci vozidel budou reagovat na trvalou poptávku a</w:t>
      </w:r>
      <w:r w:rsidR="00546698">
        <w:t> </w:t>
      </w:r>
      <w:r w:rsidRPr="005075EF">
        <w:t>zachovají produkci CNG a</w:t>
      </w:r>
      <w:r w:rsidR="00546698">
        <w:t> </w:t>
      </w:r>
      <w:r w:rsidRPr="005075EF">
        <w:t>LNG aut. Pro zachování výroby CNG a</w:t>
      </w:r>
      <w:r w:rsidR="00546698">
        <w:t> </w:t>
      </w:r>
      <w:r w:rsidRPr="005075EF">
        <w:t>LNG aut je bude motivovat i</w:t>
      </w:r>
      <w:r w:rsidR="00546698">
        <w:t> </w:t>
      </w:r>
      <w:r w:rsidRPr="005075EF">
        <w:t>snaha umořit vložené investice do vývoje a</w:t>
      </w:r>
      <w:r w:rsidR="00546698">
        <w:t> </w:t>
      </w:r>
      <w:r w:rsidRPr="005075EF">
        <w:t>výroby.</w:t>
      </w:r>
      <w:bookmarkStart w:id="367" w:name="_Toc18497404"/>
      <w:bookmarkEnd w:id="367"/>
    </w:p>
    <w:p w14:paraId="69FD103D" w14:textId="77777777" w:rsidR="001B4719" w:rsidRPr="005075EF" w:rsidRDefault="001B4719" w:rsidP="001B4719">
      <w:pPr>
        <w:pStyle w:val="Odrkyabc"/>
        <w:numPr>
          <w:ilvl w:val="0"/>
          <w:numId w:val="12"/>
        </w:numPr>
        <w:jc w:val="both"/>
      </w:pPr>
      <w:r w:rsidRPr="005075EF">
        <w:t>Motivací realizovat nákup nových vozů v</w:t>
      </w:r>
      <w:r w:rsidR="00546698">
        <w:t> </w:t>
      </w:r>
      <w:r w:rsidRPr="005075EF">
        <w:t>rámci pravidelné obměny vozového parku, bude pro firmy, které provozující CNG a</w:t>
      </w:r>
      <w:r w:rsidR="00546698">
        <w:t> </w:t>
      </w:r>
      <w:r w:rsidRPr="005075EF">
        <w:t>LNG vozové parky, také skutečnost již vybudovaného servisního zázemí včetně proškoleného personálu. Zde se jedná především o</w:t>
      </w:r>
      <w:r w:rsidR="00546698">
        <w:t> </w:t>
      </w:r>
      <w:r w:rsidRPr="005075EF">
        <w:t>dopravní společnosti, které prostřednictvím CNG autobusů zajišťují městskou a</w:t>
      </w:r>
      <w:r w:rsidR="00546698">
        <w:t> </w:t>
      </w:r>
      <w:r w:rsidRPr="005075EF">
        <w:t>příměstskou dopravní obslužnost a</w:t>
      </w:r>
      <w:r w:rsidR="00546698">
        <w:t> </w:t>
      </w:r>
      <w:r w:rsidRPr="005075EF">
        <w:t>komunální služby, provozující CNG auta pro svoz komunálního odpadu.</w:t>
      </w:r>
      <w:bookmarkStart w:id="368" w:name="_Toc18497405"/>
      <w:bookmarkEnd w:id="368"/>
    </w:p>
    <w:p w14:paraId="2C64D57F" w14:textId="77777777" w:rsidR="001B4719" w:rsidRDefault="001B4719" w:rsidP="001B4719">
      <w:pPr>
        <w:pStyle w:val="Odrkyabc"/>
        <w:numPr>
          <w:ilvl w:val="0"/>
          <w:numId w:val="12"/>
        </w:numPr>
        <w:jc w:val="both"/>
      </w:pPr>
      <w:r w:rsidRPr="005075EF">
        <w:lastRenderedPageBreak/>
        <w:t>Proces stavebního řízení a</w:t>
      </w:r>
      <w:r w:rsidR="00546698">
        <w:t> </w:t>
      </w:r>
      <w:r w:rsidRPr="005075EF">
        <w:t>schvalování staveb při výstavbě plnicích stanic CNG a</w:t>
      </w:r>
      <w:r w:rsidR="00546698">
        <w:t> </w:t>
      </w:r>
      <w:r w:rsidRPr="005075EF">
        <w:t>LNG se zrychlí. Bude přijatý jednotný celorepublikový výklad posuzování bezpečnosti plnicích stanic v</w:t>
      </w:r>
      <w:r w:rsidR="00546698">
        <w:t> </w:t>
      </w:r>
      <w:r w:rsidRPr="005075EF">
        <w:t>rámci schvalovacího procesu a</w:t>
      </w:r>
      <w:r w:rsidR="00546698">
        <w:t> </w:t>
      </w:r>
      <w:r w:rsidRPr="005075EF">
        <w:t>uplatněno zrychlení vydávání stavebního povolení i</w:t>
      </w:r>
      <w:r w:rsidR="00546698">
        <w:t> </w:t>
      </w:r>
      <w:r w:rsidRPr="005075EF">
        <w:t>povolení k</w:t>
      </w:r>
      <w:r w:rsidR="00546698">
        <w:t> </w:t>
      </w:r>
      <w:r w:rsidRPr="005075EF">
        <w:t xml:space="preserve">provozu (kolaudace stavby). </w:t>
      </w:r>
      <w:bookmarkStart w:id="369" w:name="_Toc18497406"/>
      <w:bookmarkEnd w:id="369"/>
    </w:p>
    <w:p w14:paraId="335F31BE" w14:textId="77777777" w:rsidR="001B4719" w:rsidRDefault="001B4719" w:rsidP="001B4719">
      <w:pPr>
        <w:pStyle w:val="Odrkyabc"/>
        <w:numPr>
          <w:ilvl w:val="0"/>
          <w:numId w:val="12"/>
        </w:numPr>
        <w:jc w:val="both"/>
      </w:pPr>
      <w:r w:rsidRPr="005075EF">
        <w:t>Po zkušenostech ze zahraničí se očekává i</w:t>
      </w:r>
      <w:r w:rsidR="00546698">
        <w:t> </w:t>
      </w:r>
      <w:r w:rsidRPr="005075EF">
        <w:t>v</w:t>
      </w:r>
      <w:r>
        <w:t> </w:t>
      </w:r>
      <w:r w:rsidRPr="005075EF">
        <w:t>ČR prudký nárůst nákladních vozidel na LNG včetně mezinárodní kamionové přepravy. Výrobci LNG aut jsou připraveni vstoupit na český trh. Díky dotačními programu OPD se infrastruktura plnicích stanic na LNG se na našem území dostatečně rozvine do roku 2022 realizací minimálně 14 plnicích stanic na LNG a</w:t>
      </w:r>
      <w:r w:rsidR="00546698">
        <w:t> </w:t>
      </w:r>
      <w:r w:rsidRPr="005075EF">
        <w:t>ČR se tím stane pro kamionovou přepravu</w:t>
      </w:r>
      <w:r>
        <w:t xml:space="preserve"> </w:t>
      </w:r>
      <w:r w:rsidRPr="005075EF">
        <w:t>vyhledávanou tranzitní zemí.</w:t>
      </w:r>
      <w:bookmarkStart w:id="370" w:name="_Toc18497407"/>
      <w:bookmarkEnd w:id="370"/>
    </w:p>
    <w:p w14:paraId="6604203C" w14:textId="77777777" w:rsidR="001B4719" w:rsidRDefault="001B4719" w:rsidP="001B4719">
      <w:pPr>
        <w:pStyle w:val="Odrkyabc"/>
        <w:numPr>
          <w:ilvl w:val="0"/>
          <w:numId w:val="12"/>
        </w:numPr>
        <w:jc w:val="both"/>
      </w:pPr>
      <w:r w:rsidRPr="005075EF">
        <w:t>Zvýhodnění čistých vozidel s</w:t>
      </w:r>
      <w:r w:rsidR="00546698">
        <w:t> </w:t>
      </w:r>
      <w:r w:rsidRPr="005075EF">
        <w:t>nižšími emisemi CO</w:t>
      </w:r>
      <w:r w:rsidRPr="00005F81">
        <w:rPr>
          <w:vertAlign w:val="subscript"/>
        </w:rPr>
        <w:t>2</w:t>
      </w:r>
      <w:r w:rsidRPr="005075EF">
        <w:t xml:space="preserve"> v</w:t>
      </w:r>
      <w:r w:rsidR="00546698">
        <w:t> </w:t>
      </w:r>
      <w:r w:rsidRPr="005075EF">
        <w:t>městských aglomeracích (nízkoemisní zóny, bezplatné parkování, vyhrazené jízdní pruhy).</w:t>
      </w:r>
      <w:bookmarkStart w:id="371" w:name="_Toc18497408"/>
      <w:bookmarkEnd w:id="371"/>
    </w:p>
    <w:p w14:paraId="4755924F" w14:textId="77777777" w:rsidR="001B4719" w:rsidRPr="00005F81" w:rsidRDefault="001B4719" w:rsidP="001B4719">
      <w:pPr>
        <w:pStyle w:val="Odrkyabc"/>
        <w:numPr>
          <w:ilvl w:val="0"/>
          <w:numId w:val="12"/>
        </w:numPr>
        <w:jc w:val="both"/>
        <w:rPr>
          <w:rFonts w:asciiTheme="majorHAnsi" w:hAnsiTheme="majorHAnsi" w:cstheme="minorHAnsi"/>
        </w:rPr>
      </w:pPr>
      <w:r w:rsidRPr="005075EF">
        <w:t>Podpora vzdělanosti v</w:t>
      </w:r>
      <w:r w:rsidR="00546698">
        <w:t> </w:t>
      </w:r>
      <w:r w:rsidRPr="005075EF">
        <w:t>oblasti vozidel na zemní plyn (osvěta, popularizace, mediální podpora, školení, konference).</w:t>
      </w:r>
      <w:bookmarkStart w:id="372" w:name="_Toc18497409"/>
      <w:bookmarkEnd w:id="372"/>
    </w:p>
    <w:p w14:paraId="38DACBD9" w14:textId="77777777" w:rsidR="001B4719" w:rsidRDefault="001B4719" w:rsidP="001B4719">
      <w:pPr>
        <w:jc w:val="both"/>
        <w:rPr>
          <w:rFonts w:cs="Arial"/>
          <w:b/>
          <w:u w:val="single"/>
        </w:rPr>
      </w:pPr>
      <w:r w:rsidRPr="005075EF">
        <w:rPr>
          <w:rFonts w:cs="Arial"/>
          <w:b/>
          <w:u w:val="single"/>
        </w:rPr>
        <w:t xml:space="preserve">Varianta Business as </w:t>
      </w:r>
      <w:r w:rsidRPr="00872FC3">
        <w:rPr>
          <w:rFonts w:cs="Arial"/>
          <w:b/>
          <w:u w:val="single"/>
          <w:lang w:val="en-GB"/>
        </w:rPr>
        <w:t>Usual</w:t>
      </w:r>
      <w:r w:rsidRPr="005075EF">
        <w:rPr>
          <w:rFonts w:cs="Arial"/>
          <w:b/>
          <w:u w:val="single"/>
        </w:rPr>
        <w:t xml:space="preserve"> (V – BAU) vychází z</w:t>
      </w:r>
      <w:r w:rsidR="00546698">
        <w:rPr>
          <w:rFonts w:cs="Arial"/>
          <w:b/>
          <w:u w:val="single"/>
        </w:rPr>
        <w:t> </w:t>
      </w:r>
      <w:r w:rsidRPr="005075EF">
        <w:rPr>
          <w:rFonts w:cs="Arial"/>
          <w:b/>
          <w:u w:val="single"/>
        </w:rPr>
        <w:t>předpokladů:</w:t>
      </w:r>
      <w:bookmarkStart w:id="373" w:name="_Toc18497410"/>
      <w:bookmarkEnd w:id="373"/>
    </w:p>
    <w:p w14:paraId="3CCB13EE" w14:textId="77777777" w:rsidR="001B4719" w:rsidRDefault="001B4719" w:rsidP="001B4719">
      <w:pPr>
        <w:pStyle w:val="Odrkyabc"/>
        <w:numPr>
          <w:ilvl w:val="0"/>
          <w:numId w:val="29"/>
        </w:numPr>
        <w:jc w:val="both"/>
      </w:pPr>
      <w:r w:rsidRPr="009A63C4">
        <w:t>Výrobci vozidel zachovají ve své nabídce CNG a</w:t>
      </w:r>
      <w:r w:rsidR="00546698">
        <w:t> </w:t>
      </w:r>
      <w:r w:rsidRPr="009A63C4">
        <w:t>LNG vozy u</w:t>
      </w:r>
      <w:r w:rsidR="00546698">
        <w:t> </w:t>
      </w:r>
      <w:r w:rsidRPr="009A63C4">
        <w:t>všech kategorií minimálně do roku 2030.</w:t>
      </w:r>
      <w:bookmarkStart w:id="374" w:name="_Toc18497411"/>
      <w:bookmarkEnd w:id="374"/>
    </w:p>
    <w:p w14:paraId="55C871F8" w14:textId="77777777" w:rsidR="001B4719" w:rsidRDefault="001B4719" w:rsidP="001B4719">
      <w:pPr>
        <w:pStyle w:val="Odrkyabc"/>
        <w:numPr>
          <w:ilvl w:val="0"/>
          <w:numId w:val="12"/>
        </w:numPr>
        <w:jc w:val="both"/>
      </w:pPr>
      <w:r w:rsidRPr="009A63C4">
        <w:t>Provoz CNG a</w:t>
      </w:r>
      <w:r w:rsidR="00546698">
        <w:t> </w:t>
      </w:r>
      <w:r w:rsidRPr="009A63C4">
        <w:t>LNG aut všech kategorií bude pro uživatele stále ekonomicky výhodný (s růstem cen kapalných PHM stále více než je dnes </w:t>
      </w:r>
      <w:r>
        <w:t>obvyklé).</w:t>
      </w:r>
      <w:bookmarkStart w:id="375" w:name="_Toc18497412"/>
      <w:bookmarkEnd w:id="375"/>
    </w:p>
    <w:p w14:paraId="05C90F23" w14:textId="77777777" w:rsidR="001B4719" w:rsidRDefault="001B4719" w:rsidP="001B4719">
      <w:pPr>
        <w:pStyle w:val="Odrkyabc"/>
        <w:numPr>
          <w:ilvl w:val="0"/>
          <w:numId w:val="12"/>
        </w:numPr>
        <w:jc w:val="both"/>
      </w:pPr>
      <w:r w:rsidRPr="009A63C4">
        <w:t>Existující podpora státu bude zachovaná i</w:t>
      </w:r>
      <w:r w:rsidR="00546698">
        <w:t> </w:t>
      </w:r>
      <w:r w:rsidRPr="009A63C4">
        <w:t>po roce 2025, i</w:t>
      </w:r>
      <w:r w:rsidR="00546698">
        <w:t> </w:t>
      </w:r>
      <w:r w:rsidRPr="009A63C4">
        <w:t>když ne v</w:t>
      </w:r>
      <w:r w:rsidR="00546698">
        <w:t> </w:t>
      </w:r>
      <w:r w:rsidRPr="009A63C4">
        <w:t>plné míře (zachování nulové silniční daně pro vozidla na ZP, snížená sazba dálniční známky a</w:t>
      </w:r>
      <w:r w:rsidR="00546698">
        <w:t> </w:t>
      </w:r>
      <w:r w:rsidRPr="009A63C4">
        <w:t>určité snížené sazby spotřební daně na zemní plyn pro dopravu po roce 2025, i</w:t>
      </w:r>
      <w:r w:rsidR="00546698">
        <w:t> </w:t>
      </w:r>
      <w:r w:rsidRPr="009A63C4">
        <w:t>když bude pokračovat postupné zvyšování této daně). Bude zachovaná i</w:t>
      </w:r>
      <w:r w:rsidR="00546698">
        <w:t> </w:t>
      </w:r>
      <w:r w:rsidRPr="009A63C4">
        <w:t>podpora nákupu vozidel pro stát a</w:t>
      </w:r>
      <w:r w:rsidR="00546698">
        <w:t> </w:t>
      </w:r>
      <w:r w:rsidRPr="009A63C4">
        <w:t>státem řízené organizace a</w:t>
      </w:r>
      <w:r w:rsidR="00546698">
        <w:t> </w:t>
      </w:r>
      <w:r w:rsidRPr="009A63C4">
        <w:t>podpora nákupu autobusů na CNG (v</w:t>
      </w:r>
      <w:r>
        <w:t> </w:t>
      </w:r>
      <w:r w:rsidRPr="009A63C4">
        <w:t>rámci IROP). Dojde k</w:t>
      </w:r>
      <w:r w:rsidR="00546698">
        <w:t> </w:t>
      </w:r>
      <w:r w:rsidRPr="009A63C4">
        <w:t>odstranění přetrvávajících bariér v</w:t>
      </w:r>
      <w:r w:rsidR="00546698">
        <w:t> </w:t>
      </w:r>
      <w:r w:rsidRPr="009A63C4">
        <w:t>oblasti garážování, nicméně v</w:t>
      </w:r>
      <w:r w:rsidR="00546698">
        <w:t> </w:t>
      </w:r>
      <w:r w:rsidRPr="009A63C4">
        <w:t>pozdějším čase než ve variantě 1. Maximální využití dotací z</w:t>
      </w:r>
      <w:r w:rsidR="00546698">
        <w:t> </w:t>
      </w:r>
      <w:r w:rsidRPr="009A63C4">
        <w:t>rozvojových programů EU pro rozvoj čisté dopravy prostřednictvím plynných paliv.</w:t>
      </w:r>
      <w:bookmarkStart w:id="376" w:name="_Toc18497413"/>
      <w:bookmarkEnd w:id="376"/>
    </w:p>
    <w:p w14:paraId="0D56759A" w14:textId="77777777" w:rsidR="001B4719" w:rsidRDefault="001B4719" w:rsidP="001B4719">
      <w:pPr>
        <w:pStyle w:val="Odrkyabc"/>
        <w:numPr>
          <w:ilvl w:val="0"/>
          <w:numId w:val="12"/>
        </w:numPr>
        <w:jc w:val="both"/>
      </w:pPr>
      <w:r w:rsidRPr="009A63C4">
        <w:t>Motivací realizovat nákup nových vozů v</w:t>
      </w:r>
      <w:r w:rsidR="00546698">
        <w:t> </w:t>
      </w:r>
      <w:r w:rsidRPr="009A63C4">
        <w:t>rámci pravidelné obměny vozového parku, bude pro firmy, které provozující CNG a</w:t>
      </w:r>
      <w:r w:rsidR="00546698">
        <w:t> </w:t>
      </w:r>
      <w:r w:rsidRPr="009A63C4">
        <w:t>LNG vozové parky, také skutečnost již vybudovaného servisního zázemí včetně proškoleného personálu. Zde se jedná především o</w:t>
      </w:r>
      <w:r w:rsidR="00546698">
        <w:t> </w:t>
      </w:r>
      <w:r w:rsidRPr="009A63C4">
        <w:t>dopravní společnosti, které prostřednictvím CNG autobusů zajišťují městskou a</w:t>
      </w:r>
      <w:r w:rsidR="00546698">
        <w:t> </w:t>
      </w:r>
      <w:r w:rsidRPr="009A63C4">
        <w:t>příměstskou dopravní obslužnost a</w:t>
      </w:r>
      <w:r w:rsidR="00546698">
        <w:t> </w:t>
      </w:r>
      <w:r w:rsidRPr="009A63C4">
        <w:t>komunální služby, provozující CNG au</w:t>
      </w:r>
      <w:r>
        <w:t>ta pro svoz komunálního odpadu.</w:t>
      </w:r>
      <w:bookmarkStart w:id="377" w:name="_Toc18497414"/>
      <w:bookmarkEnd w:id="377"/>
    </w:p>
    <w:p w14:paraId="48EA5E26" w14:textId="77777777" w:rsidR="001B4719" w:rsidRPr="009A63C4" w:rsidRDefault="001B4719" w:rsidP="001B4719">
      <w:pPr>
        <w:pStyle w:val="Odrkyabc"/>
        <w:numPr>
          <w:ilvl w:val="0"/>
          <w:numId w:val="12"/>
        </w:numPr>
        <w:jc w:val="both"/>
      </w:pPr>
      <w:r w:rsidRPr="009A63C4">
        <w:t>Vyhovující infrastruktura CNG a</w:t>
      </w:r>
      <w:r w:rsidR="00546698">
        <w:t> </w:t>
      </w:r>
      <w:r w:rsidRPr="009A63C4">
        <w:t>LNG plnicích stanic a</w:t>
      </w:r>
      <w:r w:rsidR="00546698">
        <w:t> </w:t>
      </w:r>
      <w:r w:rsidRPr="009A63C4">
        <w:t xml:space="preserve">vzrůstající podíl </w:t>
      </w:r>
      <w:r>
        <w:t>biometan</w:t>
      </w:r>
      <w:r w:rsidRPr="009A63C4">
        <w:t>u bude ČR zatraktivňovat použití bioCNG a</w:t>
      </w:r>
      <w:r w:rsidR="00546698">
        <w:t> </w:t>
      </w:r>
      <w:r w:rsidRPr="009A63C4">
        <w:t>bioLNG, úspěšně se bude rozvíjet především trh nákladních aut (HDVs´) a</w:t>
      </w:r>
      <w:r w:rsidR="00546698">
        <w:t> </w:t>
      </w:r>
      <w:r w:rsidRPr="009A63C4">
        <w:t>tahačů na bioLNG a</w:t>
      </w:r>
      <w:r w:rsidR="00546698">
        <w:t> </w:t>
      </w:r>
      <w:r w:rsidRPr="009A63C4">
        <w:t>ČR se stane atraktivní tranzitní zemí.</w:t>
      </w:r>
      <w:bookmarkStart w:id="378" w:name="_Toc18497415"/>
      <w:bookmarkEnd w:id="378"/>
    </w:p>
    <w:p w14:paraId="622AC366" w14:textId="77777777" w:rsidR="001B4719" w:rsidRPr="00005F81" w:rsidRDefault="001B4719" w:rsidP="001B4719">
      <w:pPr>
        <w:pStyle w:val="Odrkyabc"/>
        <w:numPr>
          <w:ilvl w:val="0"/>
          <w:numId w:val="12"/>
        </w:numPr>
        <w:jc w:val="both"/>
        <w:rPr>
          <w:sz w:val="20"/>
          <w:szCs w:val="20"/>
        </w:rPr>
      </w:pPr>
      <w:r w:rsidRPr="009A63C4">
        <w:t>Proces stavebního řízení a</w:t>
      </w:r>
      <w:r w:rsidR="00546698">
        <w:t> </w:t>
      </w:r>
      <w:r w:rsidRPr="009A63C4">
        <w:t>schvalování staveb při výstavbě plnicích stanic CNG a</w:t>
      </w:r>
      <w:r w:rsidR="00546698">
        <w:t> </w:t>
      </w:r>
      <w:r w:rsidRPr="009A63C4">
        <w:t>LNG se zrychlí. Bude přijatý jednotný celorepublikový výklad posuzování bezpečnosti plnicích stanic v</w:t>
      </w:r>
      <w:r w:rsidR="00546698">
        <w:t> </w:t>
      </w:r>
      <w:r w:rsidRPr="009A63C4">
        <w:t>rámci schvalovacího procesu a</w:t>
      </w:r>
      <w:r w:rsidR="00546698">
        <w:t> </w:t>
      </w:r>
      <w:r w:rsidRPr="009A63C4">
        <w:t>uplatněno zrychlení vydávání stavebního povolení i</w:t>
      </w:r>
      <w:r w:rsidR="00546698">
        <w:t> </w:t>
      </w:r>
      <w:r w:rsidRPr="009A63C4">
        <w:t>povolení k</w:t>
      </w:r>
      <w:r w:rsidR="00546698">
        <w:t> </w:t>
      </w:r>
      <w:r w:rsidRPr="009A63C4">
        <w:t>provozu (kolaudace stavby).</w:t>
      </w:r>
      <w:bookmarkStart w:id="379" w:name="_Toc18497416"/>
      <w:bookmarkEnd w:id="379"/>
    </w:p>
    <w:p w14:paraId="1D9719F7" w14:textId="77777777" w:rsidR="001B4719" w:rsidRPr="009A63C4" w:rsidRDefault="001B4719" w:rsidP="001B4719">
      <w:pPr>
        <w:spacing w:after="0"/>
        <w:jc w:val="both"/>
        <w:rPr>
          <w:rFonts w:cs="Arial"/>
          <w:b/>
          <w:u w:val="single"/>
        </w:rPr>
      </w:pPr>
      <w:r w:rsidRPr="009A63C4">
        <w:rPr>
          <w:rFonts w:cs="Arial"/>
          <w:b/>
          <w:u w:val="single"/>
        </w:rPr>
        <w:t>Varianta Bez Podpory (V – BP) vychází z</w:t>
      </w:r>
      <w:r w:rsidR="00546698">
        <w:rPr>
          <w:rFonts w:cs="Arial"/>
          <w:b/>
          <w:u w:val="single"/>
        </w:rPr>
        <w:t> </w:t>
      </w:r>
      <w:r w:rsidRPr="009A63C4">
        <w:rPr>
          <w:rFonts w:cs="Arial"/>
          <w:b/>
          <w:u w:val="single"/>
        </w:rPr>
        <w:t>předpokladů:</w:t>
      </w:r>
      <w:bookmarkStart w:id="380" w:name="_Toc18497417"/>
      <w:bookmarkEnd w:id="380"/>
    </w:p>
    <w:p w14:paraId="48CBE083" w14:textId="77777777" w:rsidR="001B4719" w:rsidRDefault="001B4719" w:rsidP="001B4719">
      <w:pPr>
        <w:pStyle w:val="Odrkyabc"/>
        <w:numPr>
          <w:ilvl w:val="0"/>
          <w:numId w:val="30"/>
        </w:numPr>
        <w:jc w:val="both"/>
      </w:pPr>
      <w:r w:rsidRPr="009A63C4">
        <w:t>Na základě tlaku EU na snižování emisí CO</w:t>
      </w:r>
      <w:r w:rsidRPr="009D2A09">
        <w:rPr>
          <w:vertAlign w:val="subscript"/>
        </w:rPr>
        <w:t>2</w:t>
      </w:r>
      <w:r w:rsidRPr="009A63C4">
        <w:t xml:space="preserve"> výrobci OA a</w:t>
      </w:r>
      <w:r w:rsidR="00546698">
        <w:t> </w:t>
      </w:r>
      <w:r w:rsidRPr="009A63C4">
        <w:t>LUV zachovají ve své nabídce modely na CNG pouze do roku 2025 a</w:t>
      </w:r>
      <w:r w:rsidR="00546698">
        <w:t> </w:t>
      </w:r>
      <w:r w:rsidRPr="009A63C4">
        <w:t>u</w:t>
      </w:r>
      <w:r>
        <w:t> </w:t>
      </w:r>
      <w:r w:rsidRPr="009A63C4">
        <w:t>ostatních vozidel (nákladní a</w:t>
      </w:r>
      <w:r w:rsidR="00546698">
        <w:t> </w:t>
      </w:r>
      <w:r w:rsidRPr="009A63C4">
        <w:t>autobusy) do roku 2040.</w:t>
      </w:r>
      <w:bookmarkStart w:id="381" w:name="_Toc18497418"/>
      <w:bookmarkEnd w:id="381"/>
    </w:p>
    <w:p w14:paraId="5070DBE1" w14:textId="77777777" w:rsidR="001B4719" w:rsidRPr="009A63C4" w:rsidRDefault="001B4719" w:rsidP="001B4719">
      <w:pPr>
        <w:pStyle w:val="Odrkyabc"/>
        <w:numPr>
          <w:ilvl w:val="0"/>
          <w:numId w:val="12"/>
        </w:numPr>
        <w:jc w:val="both"/>
      </w:pPr>
      <w:r w:rsidRPr="009A63C4">
        <w:t>Na základě politického rozhodnutí přestane stát po roce 2025 podporovat plynná paliva v</w:t>
      </w:r>
      <w:r w:rsidR="00546698">
        <w:t> </w:t>
      </w:r>
      <w:r w:rsidRPr="009A63C4">
        <w:t>dopravě (tj. skončí veškerá současná daňová i</w:t>
      </w:r>
      <w:r w:rsidR="00546698">
        <w:t> </w:t>
      </w:r>
      <w:r w:rsidRPr="009A63C4">
        <w:t>jiná podpora).</w:t>
      </w:r>
      <w:bookmarkStart w:id="382" w:name="_Toc18497419"/>
      <w:bookmarkEnd w:id="382"/>
    </w:p>
    <w:p w14:paraId="14B01BDC" w14:textId="77777777" w:rsidR="001B4719" w:rsidRPr="009A63C4" w:rsidRDefault="001B4719" w:rsidP="001B4719">
      <w:pPr>
        <w:pStyle w:val="Odrkyabc"/>
        <w:numPr>
          <w:ilvl w:val="0"/>
          <w:numId w:val="12"/>
        </w:numPr>
        <w:jc w:val="both"/>
      </w:pPr>
      <w:r w:rsidRPr="009A63C4">
        <w:t>Provoz vozidel CNG a</w:t>
      </w:r>
      <w:r w:rsidR="00546698">
        <w:t> </w:t>
      </w:r>
      <w:r w:rsidRPr="009A63C4">
        <w:t>LNG všech kategorií, i</w:t>
      </w:r>
      <w:r w:rsidR="00546698">
        <w:t> </w:t>
      </w:r>
      <w:r w:rsidRPr="009A63C4">
        <w:t xml:space="preserve">přes „ozelenění“ zemního plynu pokročilým </w:t>
      </w:r>
      <w:r>
        <w:t>biometan</w:t>
      </w:r>
      <w:r w:rsidRPr="009A63C4">
        <w:t>em bude pro uživatele trvale ekonomicky nevýhodný.</w:t>
      </w:r>
      <w:bookmarkStart w:id="383" w:name="_Toc18497420"/>
      <w:bookmarkEnd w:id="383"/>
    </w:p>
    <w:p w14:paraId="43298796" w14:textId="77777777" w:rsidR="001B4719" w:rsidRPr="009A63C4" w:rsidRDefault="001B4719" w:rsidP="001B4719">
      <w:pPr>
        <w:pStyle w:val="Odrkyabc"/>
        <w:numPr>
          <w:ilvl w:val="0"/>
          <w:numId w:val="12"/>
        </w:numPr>
        <w:jc w:val="both"/>
      </w:pPr>
      <w:r w:rsidRPr="009A63C4">
        <w:t>Zájemci o</w:t>
      </w:r>
      <w:r w:rsidR="00546698">
        <w:t> </w:t>
      </w:r>
      <w:r w:rsidRPr="009A63C4">
        <w:t>OA a</w:t>
      </w:r>
      <w:r w:rsidR="00546698">
        <w:t> </w:t>
      </w:r>
      <w:r w:rsidRPr="009A63C4">
        <w:t>LUV na CNG díky zhoršující se nabídce vozidel na trhu a</w:t>
      </w:r>
      <w:r w:rsidR="00546698">
        <w:t> </w:t>
      </w:r>
      <w:r w:rsidRPr="009A63C4">
        <w:t>zhoršující se ekonomice provozu budou ubývat.</w:t>
      </w:r>
      <w:bookmarkStart w:id="384" w:name="_Toc18497421"/>
      <w:bookmarkEnd w:id="384"/>
    </w:p>
    <w:p w14:paraId="2B4355F7" w14:textId="77777777" w:rsidR="001B4719" w:rsidRPr="009A63C4" w:rsidRDefault="001B4719" w:rsidP="001B4719">
      <w:pPr>
        <w:pStyle w:val="Odrkyabc"/>
        <w:numPr>
          <w:ilvl w:val="0"/>
          <w:numId w:val="12"/>
        </w:numPr>
        <w:jc w:val="both"/>
      </w:pPr>
      <w:r w:rsidRPr="009A63C4">
        <w:lastRenderedPageBreak/>
        <w:t>Díky sílícímu úbytku OA a</w:t>
      </w:r>
      <w:r w:rsidR="00546698">
        <w:t> </w:t>
      </w:r>
      <w:r w:rsidRPr="009A63C4">
        <w:t xml:space="preserve">LUV bude produkci pokročilého </w:t>
      </w:r>
      <w:r>
        <w:t>biometan</w:t>
      </w:r>
      <w:r w:rsidRPr="009A63C4">
        <w:t>u vyrobeného pro dopravu v</w:t>
      </w:r>
      <w:r w:rsidR="00546698">
        <w:t> </w:t>
      </w:r>
      <w:r w:rsidRPr="009A63C4">
        <w:t>ČR spotřebovávat především nákladní doprava (LNG) a</w:t>
      </w:r>
      <w:r w:rsidR="00546698">
        <w:t> </w:t>
      </w:r>
      <w:r w:rsidRPr="009A63C4">
        <w:t>autobusy (CNG).</w:t>
      </w:r>
      <w:bookmarkStart w:id="385" w:name="_Toc18497422"/>
      <w:bookmarkEnd w:id="385"/>
    </w:p>
    <w:p w14:paraId="5145C1B7" w14:textId="77777777" w:rsidR="001B4719" w:rsidRDefault="001B4719" w:rsidP="001B4719">
      <w:pPr>
        <w:pStyle w:val="odrkaa"/>
        <w:jc w:val="both"/>
      </w:pPr>
      <w:r w:rsidRPr="009A63C4">
        <w:t>Průběžný pokles vozového parku již po roce 2025 a</w:t>
      </w:r>
      <w:r w:rsidR="00546698">
        <w:t> </w:t>
      </w:r>
      <w:r w:rsidRPr="009A63C4">
        <w:t xml:space="preserve">narůstající výroba pokročilého </w:t>
      </w:r>
      <w:r>
        <w:t>biometan</w:t>
      </w:r>
      <w:r w:rsidRPr="009A63C4">
        <w:t>u v</w:t>
      </w:r>
      <w:r w:rsidR="00546698">
        <w:t> </w:t>
      </w:r>
      <w:r w:rsidRPr="009A63C4">
        <w:t>ČR umožní 100% „ozelenění“ dopravy již v</w:t>
      </w:r>
      <w:r w:rsidR="00546698">
        <w:t> </w:t>
      </w:r>
      <w:r w:rsidRPr="009A63C4">
        <w:t>roce 2030.</w:t>
      </w:r>
      <w:bookmarkStart w:id="386" w:name="_Toc18497423"/>
      <w:bookmarkStart w:id="387" w:name="_Toc13685888"/>
      <w:bookmarkStart w:id="388" w:name="_Toc13753785"/>
      <w:bookmarkEnd w:id="386"/>
    </w:p>
    <w:p w14:paraId="7C257347" w14:textId="77777777" w:rsidR="001B4719" w:rsidRPr="0050685D" w:rsidRDefault="001B4719" w:rsidP="001B4719">
      <w:pPr>
        <w:pStyle w:val="Nadpis3"/>
        <w:numPr>
          <w:ilvl w:val="2"/>
          <w:numId w:val="9"/>
        </w:numPr>
        <w:tabs>
          <w:tab w:val="left" w:pos="851"/>
          <w:tab w:val="num" w:pos="2411"/>
        </w:tabs>
        <w:ind w:left="284" w:firstLine="0"/>
        <w:jc w:val="both"/>
      </w:pPr>
      <w:bookmarkStart w:id="389" w:name="_Toc19792339"/>
      <w:bookmarkStart w:id="390" w:name="_Toc25084483"/>
      <w:bookmarkStart w:id="391" w:name="_Toc25136810"/>
      <w:bookmarkStart w:id="392" w:name="_Toc34295935"/>
      <w:r w:rsidRPr="0050685D">
        <w:t>Predikce vývoje vozového parku na CNG a</w:t>
      </w:r>
      <w:r w:rsidR="00546698">
        <w:t> </w:t>
      </w:r>
      <w:r w:rsidRPr="0050685D">
        <w:t>LNG</w:t>
      </w:r>
      <w:bookmarkEnd w:id="387"/>
      <w:bookmarkEnd w:id="388"/>
      <w:bookmarkEnd w:id="389"/>
      <w:bookmarkEnd w:id="390"/>
      <w:bookmarkEnd w:id="391"/>
      <w:bookmarkEnd w:id="392"/>
    </w:p>
    <w:p w14:paraId="43C456EA" w14:textId="77777777" w:rsidR="00C95FCA" w:rsidRDefault="00C95FCA" w:rsidP="00C95FCA">
      <w:pPr>
        <w:pStyle w:val="Titulek"/>
        <w:keepNext/>
        <w:jc w:val="both"/>
      </w:pPr>
      <w:bookmarkStart w:id="393" w:name="_Toc25230420"/>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13</w:t>
      </w:r>
      <w:r w:rsidR="001614BC">
        <w:rPr>
          <w:noProof/>
        </w:rPr>
        <w:fldChar w:fldCharType="end"/>
      </w:r>
      <w:r w:rsidRPr="00C95FCA">
        <w:t xml:space="preserve"> </w:t>
      </w:r>
      <w:r>
        <w:t>Graf p</w:t>
      </w:r>
      <w:r w:rsidRPr="00871629">
        <w:t>redikc</w:t>
      </w:r>
      <w:r>
        <w:t>í</w:t>
      </w:r>
      <w:r w:rsidRPr="00871629">
        <w:t xml:space="preserve"> vývoje vozového parku v</w:t>
      </w:r>
      <w:r w:rsidR="00546698">
        <w:t> </w:t>
      </w:r>
      <w:r w:rsidRPr="00871629">
        <w:t>ČR</w:t>
      </w:r>
      <w:bookmarkEnd w:id="393"/>
    </w:p>
    <w:p w14:paraId="5E472D0B" w14:textId="77777777" w:rsidR="001B4719" w:rsidRPr="0050685D" w:rsidRDefault="001B4719" w:rsidP="001B4719">
      <w:pPr>
        <w:spacing w:after="0"/>
        <w:jc w:val="both"/>
        <w:rPr>
          <w:rFonts w:asciiTheme="majorHAnsi" w:hAnsiTheme="majorHAnsi" w:cstheme="minorHAnsi"/>
        </w:rPr>
      </w:pPr>
      <w:r w:rsidRPr="0050685D">
        <w:rPr>
          <w:rFonts w:asciiTheme="majorHAnsi" w:hAnsiTheme="majorHAnsi" w:cstheme="minorHAnsi"/>
          <w:noProof/>
        </w:rPr>
        <w:drawing>
          <wp:inline distT="0" distB="0" distL="0" distR="0" wp14:anchorId="79535720" wp14:editId="0D425FCA">
            <wp:extent cx="5760720" cy="2736000"/>
            <wp:effectExtent l="0" t="0" r="11430" b="26670"/>
            <wp:docPr id="63"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B97D742" w14:textId="77777777" w:rsidR="001B4719" w:rsidRDefault="001B4719" w:rsidP="001B4719">
      <w:pPr>
        <w:jc w:val="both"/>
      </w:pPr>
      <w:r w:rsidRPr="0050685D">
        <w:t>Zdroj: ČPS</w:t>
      </w:r>
    </w:p>
    <w:p w14:paraId="3B29FE21" w14:textId="77777777" w:rsidR="00872FC3" w:rsidRPr="0050685D" w:rsidRDefault="00872FC3" w:rsidP="001B4719">
      <w:pPr>
        <w:jc w:val="both"/>
      </w:pPr>
    </w:p>
    <w:p w14:paraId="55071B44" w14:textId="77777777" w:rsidR="00C95FCA" w:rsidRDefault="00C95FCA" w:rsidP="00C95FCA">
      <w:pPr>
        <w:pStyle w:val="Titulek"/>
        <w:keepNext/>
      </w:pPr>
      <w:bookmarkStart w:id="394" w:name="_Toc34295869"/>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10</w:t>
      </w:r>
      <w:r w:rsidR="001614BC">
        <w:rPr>
          <w:noProof/>
        </w:rPr>
        <w:fldChar w:fldCharType="end"/>
      </w:r>
      <w:r w:rsidRPr="00C95FCA">
        <w:t xml:space="preserve"> </w:t>
      </w:r>
      <w:r w:rsidRPr="005A31CF">
        <w:t>Predikce vývoje vozového parku v</w:t>
      </w:r>
      <w:r w:rsidR="00546698">
        <w:t> </w:t>
      </w:r>
      <w:r w:rsidRPr="005A31CF">
        <w:t>ČR (podle druhů vozidel)</w:t>
      </w:r>
      <w:bookmarkEnd w:id="394"/>
    </w:p>
    <w:tbl>
      <w:tblPr>
        <w:tblW w:w="91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34"/>
        <w:gridCol w:w="2665"/>
        <w:gridCol w:w="1077"/>
        <w:gridCol w:w="1077"/>
        <w:gridCol w:w="1077"/>
        <w:gridCol w:w="1077"/>
        <w:gridCol w:w="1077"/>
      </w:tblGrid>
      <w:tr w:rsidR="001B4719" w14:paraId="3AF4F56E" w14:textId="77777777" w:rsidTr="000050AA">
        <w:trPr>
          <w:tblHeader/>
        </w:trPr>
        <w:tc>
          <w:tcPr>
            <w:tcW w:w="1134" w:type="dxa"/>
            <w:tcBorders>
              <w:top w:val="single" w:sz="12" w:space="0" w:color="auto"/>
              <w:bottom w:val="single" w:sz="12" w:space="0" w:color="auto"/>
              <w:right w:val="single" w:sz="12" w:space="0" w:color="auto"/>
            </w:tcBorders>
            <w:shd w:val="clear" w:color="auto" w:fill="2196FF" w:themeFill="text2" w:themeFillTint="99"/>
          </w:tcPr>
          <w:p w14:paraId="0CADF365" w14:textId="77777777" w:rsidR="001B4719" w:rsidRPr="00685433" w:rsidRDefault="001B4719" w:rsidP="000050AA">
            <w:pPr>
              <w:pStyle w:val="Zhlavtabulky"/>
              <w:jc w:val="both"/>
              <w:rPr>
                <w:color w:val="FFFFFF" w:themeColor="background1"/>
              </w:rPr>
            </w:pPr>
          </w:p>
        </w:tc>
        <w:tc>
          <w:tcPr>
            <w:tcW w:w="2665" w:type="dxa"/>
            <w:tcBorders>
              <w:top w:val="single" w:sz="12" w:space="0" w:color="auto"/>
              <w:bottom w:val="single" w:sz="12" w:space="0" w:color="auto"/>
              <w:right w:val="single" w:sz="12" w:space="0" w:color="auto"/>
            </w:tcBorders>
            <w:shd w:val="clear" w:color="auto" w:fill="2196FF" w:themeFill="text2" w:themeFillTint="99"/>
          </w:tcPr>
          <w:p w14:paraId="085F2E8E" w14:textId="77777777" w:rsidR="001B4719" w:rsidRPr="0017298D" w:rsidRDefault="001B4719" w:rsidP="000050AA">
            <w:pPr>
              <w:jc w:val="both"/>
              <w:rPr>
                <w:b/>
                <w:color w:val="FFFFFF" w:themeColor="background1"/>
              </w:rPr>
            </w:pP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4689AE4A" w14:textId="77777777" w:rsidR="001B4719" w:rsidRPr="00685433" w:rsidRDefault="001B4719" w:rsidP="00872FC3">
            <w:pPr>
              <w:jc w:val="center"/>
              <w:rPr>
                <w:b/>
                <w:color w:val="FFFFFF" w:themeColor="background1"/>
              </w:rPr>
            </w:pPr>
            <w:r>
              <w:rPr>
                <w:b/>
                <w:color w:val="FFFFFF" w:themeColor="background1"/>
              </w:rPr>
              <w:t>2020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2AF02945" w14:textId="77777777" w:rsidR="001B4719" w:rsidRPr="0017298D" w:rsidRDefault="001B4719" w:rsidP="00872FC3">
            <w:pPr>
              <w:jc w:val="center"/>
              <w:rPr>
                <w:b/>
                <w:color w:val="FFFFFF" w:themeColor="background1"/>
              </w:rPr>
            </w:pPr>
            <w:r>
              <w:rPr>
                <w:b/>
                <w:color w:val="FFFFFF" w:themeColor="background1"/>
              </w:rPr>
              <w:t>2025</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5A6C147B" w14:textId="77777777" w:rsidR="001B4719" w:rsidRPr="0017298D" w:rsidRDefault="001B4719" w:rsidP="00872FC3">
            <w:pPr>
              <w:jc w:val="center"/>
              <w:rPr>
                <w:b/>
                <w:color w:val="FFFFFF" w:themeColor="background1"/>
              </w:rPr>
            </w:pPr>
            <w:r>
              <w:rPr>
                <w:b/>
                <w:color w:val="FFFFFF" w:themeColor="background1"/>
              </w:rPr>
              <w:t>2030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7F5A9968" w14:textId="77777777" w:rsidR="001B4719" w:rsidRPr="0017298D" w:rsidRDefault="001B4719" w:rsidP="00872FC3">
            <w:pPr>
              <w:jc w:val="center"/>
              <w:rPr>
                <w:b/>
                <w:color w:val="FFFFFF" w:themeColor="background1"/>
              </w:rPr>
            </w:pPr>
            <w:r>
              <w:rPr>
                <w:b/>
                <w:color w:val="FFFFFF" w:themeColor="background1"/>
              </w:rPr>
              <w:t>2040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51BC2C1B" w14:textId="77777777" w:rsidR="001B4719" w:rsidRDefault="001B4719" w:rsidP="00872FC3">
            <w:pPr>
              <w:jc w:val="center"/>
              <w:rPr>
                <w:b/>
                <w:color w:val="FFFFFF" w:themeColor="background1"/>
              </w:rPr>
            </w:pPr>
            <w:r>
              <w:rPr>
                <w:b/>
                <w:color w:val="FFFFFF" w:themeColor="background1"/>
              </w:rPr>
              <w:t>2050</w:t>
            </w:r>
          </w:p>
        </w:tc>
      </w:tr>
      <w:tr w:rsidR="001B4719" w14:paraId="5045C865" w14:textId="77777777" w:rsidTr="000050AA">
        <w:trPr>
          <w:trHeight w:val="510"/>
        </w:trPr>
        <w:tc>
          <w:tcPr>
            <w:tcW w:w="1134" w:type="dxa"/>
            <w:vMerge w:val="restart"/>
            <w:tcBorders>
              <w:top w:val="single" w:sz="12" w:space="0" w:color="auto"/>
              <w:right w:val="single" w:sz="12" w:space="0" w:color="auto"/>
            </w:tcBorders>
            <w:vAlign w:val="center"/>
          </w:tcPr>
          <w:p w14:paraId="62784CD5" w14:textId="77777777" w:rsidR="001B4719" w:rsidRPr="00454F3F" w:rsidRDefault="001B4719" w:rsidP="000050AA">
            <w:pPr>
              <w:jc w:val="both"/>
            </w:pPr>
            <w:r>
              <w:t>V - PA</w:t>
            </w:r>
          </w:p>
        </w:tc>
        <w:tc>
          <w:tcPr>
            <w:tcW w:w="2665" w:type="dxa"/>
            <w:tcBorders>
              <w:top w:val="single" w:sz="12" w:space="0" w:color="auto"/>
              <w:right w:val="single" w:sz="12" w:space="0" w:color="auto"/>
            </w:tcBorders>
            <w:vAlign w:val="center"/>
          </w:tcPr>
          <w:p w14:paraId="3C287958"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top w:val="single" w:sz="12" w:space="0" w:color="auto"/>
              <w:left w:val="single" w:sz="12" w:space="0" w:color="auto"/>
              <w:right w:val="single" w:sz="12" w:space="0" w:color="auto"/>
            </w:tcBorders>
            <w:vAlign w:val="center"/>
          </w:tcPr>
          <w:p w14:paraId="77C4095F" w14:textId="77777777" w:rsidR="001B4719" w:rsidRPr="001C4EBE" w:rsidRDefault="001B4719" w:rsidP="00872FC3">
            <w:pPr>
              <w:spacing w:before="100" w:beforeAutospacing="1" w:after="100" w:afterAutospacing="1"/>
              <w:jc w:val="right"/>
              <w:rPr>
                <w:b/>
              </w:rPr>
            </w:pPr>
            <w:r w:rsidRPr="001C4EBE">
              <w:rPr>
                <w:b/>
              </w:rPr>
              <w:t>25 700</w:t>
            </w:r>
          </w:p>
        </w:tc>
        <w:tc>
          <w:tcPr>
            <w:tcW w:w="1077" w:type="dxa"/>
            <w:tcBorders>
              <w:top w:val="single" w:sz="12" w:space="0" w:color="auto"/>
              <w:left w:val="single" w:sz="12" w:space="0" w:color="auto"/>
              <w:right w:val="single" w:sz="12" w:space="0" w:color="auto"/>
            </w:tcBorders>
            <w:vAlign w:val="center"/>
          </w:tcPr>
          <w:p w14:paraId="36A86AA3" w14:textId="77777777" w:rsidR="001B4719" w:rsidRPr="001C4EBE" w:rsidRDefault="001B4719" w:rsidP="00872FC3">
            <w:pPr>
              <w:spacing w:before="100" w:beforeAutospacing="1" w:after="100" w:afterAutospacing="1"/>
              <w:jc w:val="right"/>
              <w:rPr>
                <w:b/>
              </w:rPr>
            </w:pPr>
            <w:r w:rsidRPr="001C4EBE">
              <w:rPr>
                <w:b/>
              </w:rPr>
              <w:t>40 000</w:t>
            </w:r>
          </w:p>
        </w:tc>
        <w:tc>
          <w:tcPr>
            <w:tcW w:w="1077" w:type="dxa"/>
            <w:tcBorders>
              <w:top w:val="single" w:sz="12" w:space="0" w:color="auto"/>
              <w:left w:val="single" w:sz="12" w:space="0" w:color="auto"/>
              <w:right w:val="single" w:sz="12" w:space="0" w:color="auto"/>
            </w:tcBorders>
            <w:vAlign w:val="center"/>
          </w:tcPr>
          <w:p w14:paraId="760FC30E" w14:textId="77777777" w:rsidR="001B4719" w:rsidRPr="001C4EBE" w:rsidRDefault="001B4719" w:rsidP="00872FC3">
            <w:pPr>
              <w:spacing w:before="100" w:beforeAutospacing="1" w:after="100" w:afterAutospacing="1"/>
              <w:jc w:val="right"/>
              <w:rPr>
                <w:b/>
              </w:rPr>
            </w:pPr>
            <w:r w:rsidRPr="001C4EBE">
              <w:rPr>
                <w:b/>
              </w:rPr>
              <w:t>55 350</w:t>
            </w:r>
          </w:p>
        </w:tc>
        <w:tc>
          <w:tcPr>
            <w:tcW w:w="1077" w:type="dxa"/>
            <w:tcBorders>
              <w:top w:val="single" w:sz="12" w:space="0" w:color="auto"/>
              <w:left w:val="single" w:sz="12" w:space="0" w:color="auto"/>
              <w:right w:val="single" w:sz="12" w:space="0" w:color="auto"/>
            </w:tcBorders>
            <w:vAlign w:val="center"/>
          </w:tcPr>
          <w:p w14:paraId="55BAFA1A" w14:textId="77777777" w:rsidR="001B4719" w:rsidRPr="001C4EBE" w:rsidRDefault="001B4719" w:rsidP="00872FC3">
            <w:pPr>
              <w:spacing w:before="100" w:beforeAutospacing="1" w:after="100" w:afterAutospacing="1"/>
              <w:jc w:val="right"/>
              <w:rPr>
                <w:b/>
              </w:rPr>
            </w:pPr>
            <w:r w:rsidRPr="001C4EBE">
              <w:rPr>
                <w:b/>
              </w:rPr>
              <w:t>63 400</w:t>
            </w:r>
          </w:p>
        </w:tc>
        <w:tc>
          <w:tcPr>
            <w:tcW w:w="1077" w:type="dxa"/>
            <w:tcBorders>
              <w:top w:val="single" w:sz="12" w:space="0" w:color="auto"/>
              <w:left w:val="single" w:sz="12" w:space="0" w:color="auto"/>
              <w:right w:val="single" w:sz="12" w:space="0" w:color="auto"/>
            </w:tcBorders>
            <w:vAlign w:val="center"/>
          </w:tcPr>
          <w:p w14:paraId="0119A7C4" w14:textId="77777777" w:rsidR="001B4719" w:rsidRPr="001C4EBE" w:rsidRDefault="001B4719" w:rsidP="00872FC3">
            <w:pPr>
              <w:spacing w:before="100" w:beforeAutospacing="1" w:after="100" w:afterAutospacing="1"/>
              <w:jc w:val="right"/>
              <w:rPr>
                <w:b/>
              </w:rPr>
            </w:pPr>
            <w:r w:rsidRPr="001C4EBE">
              <w:rPr>
                <w:b/>
              </w:rPr>
              <w:t>65 000</w:t>
            </w:r>
          </w:p>
        </w:tc>
      </w:tr>
      <w:tr w:rsidR="001B4719" w14:paraId="70BB1393" w14:textId="77777777" w:rsidTr="000050AA">
        <w:trPr>
          <w:trHeight w:val="510"/>
        </w:trPr>
        <w:tc>
          <w:tcPr>
            <w:tcW w:w="1134" w:type="dxa"/>
            <w:vMerge/>
            <w:tcBorders>
              <w:right w:val="single" w:sz="12" w:space="0" w:color="auto"/>
            </w:tcBorders>
            <w:vAlign w:val="center"/>
          </w:tcPr>
          <w:p w14:paraId="20259B65" w14:textId="77777777" w:rsidR="001B4719" w:rsidRPr="00454F3F" w:rsidRDefault="001B4719" w:rsidP="000050AA">
            <w:pPr>
              <w:jc w:val="both"/>
            </w:pPr>
          </w:p>
        </w:tc>
        <w:tc>
          <w:tcPr>
            <w:tcW w:w="2665" w:type="dxa"/>
            <w:tcBorders>
              <w:right w:val="single" w:sz="12" w:space="0" w:color="auto"/>
            </w:tcBorders>
            <w:vAlign w:val="center"/>
          </w:tcPr>
          <w:p w14:paraId="5DC72252"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3B7C7935" w14:textId="77777777" w:rsidR="001B4719" w:rsidRPr="00CE66EF" w:rsidRDefault="001B4719" w:rsidP="00872FC3">
            <w:pPr>
              <w:spacing w:before="100" w:beforeAutospacing="1" w:after="100" w:afterAutospacing="1"/>
              <w:jc w:val="right"/>
            </w:pPr>
            <w:r w:rsidRPr="00CE66EF">
              <w:t>24 000</w:t>
            </w:r>
          </w:p>
        </w:tc>
        <w:tc>
          <w:tcPr>
            <w:tcW w:w="1077" w:type="dxa"/>
            <w:tcBorders>
              <w:left w:val="single" w:sz="12" w:space="0" w:color="auto"/>
              <w:right w:val="single" w:sz="12" w:space="0" w:color="auto"/>
            </w:tcBorders>
            <w:vAlign w:val="center"/>
          </w:tcPr>
          <w:p w14:paraId="3142C2CB" w14:textId="77777777" w:rsidR="001B4719" w:rsidRPr="00CE66EF" w:rsidRDefault="001B4719" w:rsidP="00872FC3">
            <w:pPr>
              <w:spacing w:before="100" w:beforeAutospacing="1" w:after="100" w:afterAutospacing="1"/>
              <w:jc w:val="right"/>
            </w:pPr>
            <w:r w:rsidRPr="00CE66EF">
              <w:t>35 000</w:t>
            </w:r>
          </w:p>
        </w:tc>
        <w:tc>
          <w:tcPr>
            <w:tcW w:w="1077" w:type="dxa"/>
            <w:tcBorders>
              <w:left w:val="single" w:sz="12" w:space="0" w:color="auto"/>
              <w:right w:val="single" w:sz="12" w:space="0" w:color="auto"/>
            </w:tcBorders>
            <w:vAlign w:val="center"/>
          </w:tcPr>
          <w:p w14:paraId="6937A5BC" w14:textId="77777777" w:rsidR="001B4719" w:rsidRPr="00CE66EF" w:rsidRDefault="001B4719" w:rsidP="00872FC3">
            <w:pPr>
              <w:spacing w:before="100" w:beforeAutospacing="1" w:after="100" w:afterAutospacing="1"/>
              <w:jc w:val="right"/>
            </w:pPr>
            <w:r w:rsidRPr="00CE66EF">
              <w:t>44 600</w:t>
            </w:r>
          </w:p>
        </w:tc>
        <w:tc>
          <w:tcPr>
            <w:tcW w:w="1077" w:type="dxa"/>
            <w:tcBorders>
              <w:left w:val="single" w:sz="12" w:space="0" w:color="auto"/>
              <w:right w:val="single" w:sz="12" w:space="0" w:color="auto"/>
            </w:tcBorders>
            <w:vAlign w:val="center"/>
          </w:tcPr>
          <w:p w14:paraId="16DDFBC9" w14:textId="77777777" w:rsidR="001B4719" w:rsidRPr="00CE66EF" w:rsidRDefault="001B4719" w:rsidP="00872FC3">
            <w:pPr>
              <w:spacing w:before="100" w:beforeAutospacing="1" w:after="100" w:afterAutospacing="1"/>
              <w:jc w:val="right"/>
            </w:pPr>
            <w:r w:rsidRPr="00CE66EF">
              <w:t>47 300</w:t>
            </w:r>
          </w:p>
        </w:tc>
        <w:tc>
          <w:tcPr>
            <w:tcW w:w="1077" w:type="dxa"/>
            <w:tcBorders>
              <w:left w:val="single" w:sz="12" w:space="0" w:color="auto"/>
              <w:right w:val="single" w:sz="12" w:space="0" w:color="auto"/>
            </w:tcBorders>
            <w:vAlign w:val="center"/>
          </w:tcPr>
          <w:p w14:paraId="5D11035E" w14:textId="77777777" w:rsidR="001B4719" w:rsidRPr="00CE66EF" w:rsidRDefault="001B4719" w:rsidP="00872FC3">
            <w:pPr>
              <w:spacing w:before="100" w:beforeAutospacing="1" w:after="100" w:afterAutospacing="1"/>
              <w:jc w:val="right"/>
            </w:pPr>
            <w:r w:rsidRPr="00CE66EF">
              <w:t>49 300</w:t>
            </w:r>
          </w:p>
        </w:tc>
      </w:tr>
      <w:tr w:rsidR="001B4719" w14:paraId="3632EED3" w14:textId="77777777" w:rsidTr="000050AA">
        <w:trPr>
          <w:trHeight w:val="510"/>
        </w:trPr>
        <w:tc>
          <w:tcPr>
            <w:tcW w:w="1134" w:type="dxa"/>
            <w:vMerge/>
            <w:tcBorders>
              <w:right w:val="single" w:sz="12" w:space="0" w:color="auto"/>
            </w:tcBorders>
            <w:vAlign w:val="center"/>
          </w:tcPr>
          <w:p w14:paraId="53EAD3DB" w14:textId="77777777" w:rsidR="001B4719" w:rsidRPr="00454F3F" w:rsidRDefault="001B4719" w:rsidP="000050AA">
            <w:pPr>
              <w:jc w:val="both"/>
            </w:pPr>
          </w:p>
        </w:tc>
        <w:tc>
          <w:tcPr>
            <w:tcW w:w="2665" w:type="dxa"/>
            <w:tcBorders>
              <w:right w:val="single" w:sz="12" w:space="0" w:color="auto"/>
            </w:tcBorders>
            <w:vAlign w:val="center"/>
          </w:tcPr>
          <w:p w14:paraId="72CE504C"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6FEB6858" w14:textId="77777777" w:rsidR="001B4719" w:rsidRPr="00CE66EF" w:rsidRDefault="001B4719" w:rsidP="00872FC3">
            <w:pPr>
              <w:spacing w:before="100" w:beforeAutospacing="1" w:after="100" w:afterAutospacing="1"/>
              <w:jc w:val="right"/>
            </w:pPr>
            <w:r w:rsidRPr="00CE66EF">
              <w:t>1 320</w:t>
            </w:r>
          </w:p>
        </w:tc>
        <w:tc>
          <w:tcPr>
            <w:tcW w:w="1077" w:type="dxa"/>
            <w:tcBorders>
              <w:left w:val="single" w:sz="12" w:space="0" w:color="auto"/>
              <w:right w:val="single" w:sz="12" w:space="0" w:color="auto"/>
            </w:tcBorders>
            <w:vAlign w:val="center"/>
          </w:tcPr>
          <w:p w14:paraId="350EF82C" w14:textId="77777777" w:rsidR="001B4719" w:rsidRPr="00CE66EF" w:rsidRDefault="001B4719" w:rsidP="00872FC3">
            <w:pPr>
              <w:spacing w:before="100" w:beforeAutospacing="1" w:after="100" w:afterAutospacing="1"/>
              <w:jc w:val="right"/>
            </w:pPr>
            <w:r w:rsidRPr="00CE66EF">
              <w:t>1 850</w:t>
            </w:r>
          </w:p>
        </w:tc>
        <w:tc>
          <w:tcPr>
            <w:tcW w:w="1077" w:type="dxa"/>
            <w:tcBorders>
              <w:left w:val="single" w:sz="12" w:space="0" w:color="auto"/>
              <w:right w:val="single" w:sz="12" w:space="0" w:color="auto"/>
            </w:tcBorders>
            <w:vAlign w:val="center"/>
          </w:tcPr>
          <w:p w14:paraId="1A5381BC" w14:textId="77777777" w:rsidR="001B4719" w:rsidRPr="00CE66EF" w:rsidRDefault="001B4719" w:rsidP="00872FC3">
            <w:pPr>
              <w:spacing w:before="100" w:beforeAutospacing="1" w:after="100" w:afterAutospacing="1"/>
              <w:jc w:val="right"/>
            </w:pPr>
            <w:r w:rsidRPr="00CE66EF">
              <w:t>2 650</w:t>
            </w:r>
          </w:p>
        </w:tc>
        <w:tc>
          <w:tcPr>
            <w:tcW w:w="1077" w:type="dxa"/>
            <w:tcBorders>
              <w:left w:val="single" w:sz="12" w:space="0" w:color="auto"/>
              <w:right w:val="single" w:sz="12" w:space="0" w:color="auto"/>
            </w:tcBorders>
            <w:vAlign w:val="center"/>
          </w:tcPr>
          <w:p w14:paraId="10A4C34B" w14:textId="77777777" w:rsidR="001B4719" w:rsidRPr="00CE66EF" w:rsidRDefault="001B4719" w:rsidP="00872FC3">
            <w:pPr>
              <w:spacing w:before="100" w:beforeAutospacing="1" w:after="100" w:afterAutospacing="1"/>
              <w:jc w:val="right"/>
            </w:pPr>
            <w:r w:rsidRPr="00CE66EF">
              <w:t>3 500</w:t>
            </w:r>
          </w:p>
        </w:tc>
        <w:tc>
          <w:tcPr>
            <w:tcW w:w="1077" w:type="dxa"/>
            <w:tcBorders>
              <w:left w:val="single" w:sz="12" w:space="0" w:color="auto"/>
              <w:right w:val="single" w:sz="12" w:space="0" w:color="auto"/>
            </w:tcBorders>
            <w:vAlign w:val="center"/>
          </w:tcPr>
          <w:p w14:paraId="1BE4DE5A" w14:textId="77777777" w:rsidR="001B4719" w:rsidRPr="00CE66EF" w:rsidRDefault="001B4719" w:rsidP="00872FC3">
            <w:pPr>
              <w:spacing w:before="100" w:beforeAutospacing="1" w:after="100" w:afterAutospacing="1"/>
              <w:jc w:val="right"/>
            </w:pPr>
            <w:r w:rsidRPr="00CE66EF">
              <w:t>3 500</w:t>
            </w:r>
          </w:p>
        </w:tc>
      </w:tr>
      <w:tr w:rsidR="001B4719" w14:paraId="0167E996" w14:textId="77777777" w:rsidTr="000050AA">
        <w:trPr>
          <w:trHeight w:val="510"/>
        </w:trPr>
        <w:tc>
          <w:tcPr>
            <w:tcW w:w="1134" w:type="dxa"/>
            <w:vMerge/>
            <w:tcBorders>
              <w:right w:val="single" w:sz="12" w:space="0" w:color="auto"/>
            </w:tcBorders>
            <w:vAlign w:val="center"/>
          </w:tcPr>
          <w:p w14:paraId="5B00DD1B" w14:textId="77777777" w:rsidR="001B4719" w:rsidRPr="00454F3F" w:rsidRDefault="001B4719" w:rsidP="000050AA">
            <w:pPr>
              <w:jc w:val="both"/>
            </w:pPr>
          </w:p>
        </w:tc>
        <w:tc>
          <w:tcPr>
            <w:tcW w:w="2665" w:type="dxa"/>
            <w:tcBorders>
              <w:right w:val="single" w:sz="12" w:space="0" w:color="auto"/>
            </w:tcBorders>
            <w:vAlign w:val="center"/>
          </w:tcPr>
          <w:p w14:paraId="4B2F4773"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6FD4DD2B" w14:textId="77777777" w:rsidR="001B4719" w:rsidRPr="00CE66EF" w:rsidRDefault="001B4719" w:rsidP="00872FC3">
            <w:pPr>
              <w:spacing w:before="100" w:beforeAutospacing="1" w:after="100" w:afterAutospacing="1"/>
              <w:jc w:val="right"/>
            </w:pPr>
            <w:r w:rsidRPr="00CE66EF">
              <w:t>300</w:t>
            </w:r>
          </w:p>
        </w:tc>
        <w:tc>
          <w:tcPr>
            <w:tcW w:w="1077" w:type="dxa"/>
            <w:tcBorders>
              <w:left w:val="single" w:sz="12" w:space="0" w:color="auto"/>
              <w:right w:val="single" w:sz="12" w:space="0" w:color="auto"/>
            </w:tcBorders>
            <w:vAlign w:val="center"/>
          </w:tcPr>
          <w:p w14:paraId="5435A505" w14:textId="77777777" w:rsidR="001B4719" w:rsidRPr="00CE66EF" w:rsidRDefault="001B4719" w:rsidP="00872FC3">
            <w:pPr>
              <w:spacing w:before="100" w:beforeAutospacing="1" w:after="100" w:afterAutospacing="1"/>
              <w:jc w:val="right"/>
            </w:pPr>
            <w:r w:rsidRPr="00CE66EF">
              <w:t>850</w:t>
            </w:r>
          </w:p>
        </w:tc>
        <w:tc>
          <w:tcPr>
            <w:tcW w:w="1077" w:type="dxa"/>
            <w:tcBorders>
              <w:left w:val="single" w:sz="12" w:space="0" w:color="auto"/>
              <w:right w:val="single" w:sz="12" w:space="0" w:color="auto"/>
            </w:tcBorders>
            <w:vAlign w:val="center"/>
          </w:tcPr>
          <w:p w14:paraId="290887F6" w14:textId="77777777" w:rsidR="001B4719" w:rsidRPr="00CE66EF" w:rsidRDefault="001B4719" w:rsidP="00872FC3">
            <w:pPr>
              <w:spacing w:before="100" w:beforeAutospacing="1" w:after="100" w:afterAutospacing="1"/>
              <w:jc w:val="right"/>
            </w:pPr>
            <w:r w:rsidRPr="00CE66EF">
              <w:t>1 200</w:t>
            </w:r>
          </w:p>
        </w:tc>
        <w:tc>
          <w:tcPr>
            <w:tcW w:w="1077" w:type="dxa"/>
            <w:tcBorders>
              <w:left w:val="single" w:sz="12" w:space="0" w:color="auto"/>
              <w:right w:val="single" w:sz="12" w:space="0" w:color="auto"/>
            </w:tcBorders>
            <w:vAlign w:val="center"/>
          </w:tcPr>
          <w:p w14:paraId="4754A55C" w14:textId="77777777" w:rsidR="001B4719" w:rsidRPr="00CE66EF" w:rsidRDefault="001B4719" w:rsidP="00872FC3">
            <w:pPr>
              <w:spacing w:before="100" w:beforeAutospacing="1" w:after="100" w:afterAutospacing="1"/>
              <w:jc w:val="right"/>
            </w:pPr>
            <w:r w:rsidRPr="00CE66EF">
              <w:t>600</w:t>
            </w:r>
          </w:p>
        </w:tc>
        <w:tc>
          <w:tcPr>
            <w:tcW w:w="1077" w:type="dxa"/>
            <w:tcBorders>
              <w:left w:val="single" w:sz="12" w:space="0" w:color="auto"/>
              <w:right w:val="single" w:sz="12" w:space="0" w:color="auto"/>
            </w:tcBorders>
            <w:vAlign w:val="center"/>
          </w:tcPr>
          <w:p w14:paraId="15588EB8" w14:textId="77777777" w:rsidR="001B4719" w:rsidRPr="00CE66EF" w:rsidRDefault="001B4719" w:rsidP="00872FC3">
            <w:pPr>
              <w:spacing w:before="100" w:beforeAutospacing="1" w:after="100" w:afterAutospacing="1"/>
              <w:jc w:val="right"/>
            </w:pPr>
            <w:r w:rsidRPr="00CE66EF">
              <w:t>200</w:t>
            </w:r>
          </w:p>
        </w:tc>
      </w:tr>
      <w:tr w:rsidR="001B4719" w14:paraId="3D9FF009" w14:textId="77777777" w:rsidTr="000050AA">
        <w:trPr>
          <w:trHeight w:val="510"/>
        </w:trPr>
        <w:tc>
          <w:tcPr>
            <w:tcW w:w="1134" w:type="dxa"/>
            <w:vMerge/>
            <w:tcBorders>
              <w:right w:val="single" w:sz="12" w:space="0" w:color="auto"/>
            </w:tcBorders>
            <w:vAlign w:val="center"/>
          </w:tcPr>
          <w:p w14:paraId="0A78D093" w14:textId="77777777" w:rsidR="001B4719" w:rsidRPr="00454F3F" w:rsidRDefault="001B4719" w:rsidP="000050AA">
            <w:pPr>
              <w:jc w:val="both"/>
            </w:pPr>
          </w:p>
        </w:tc>
        <w:tc>
          <w:tcPr>
            <w:tcW w:w="2665" w:type="dxa"/>
            <w:tcBorders>
              <w:right w:val="single" w:sz="12" w:space="0" w:color="auto"/>
            </w:tcBorders>
            <w:vAlign w:val="center"/>
          </w:tcPr>
          <w:p w14:paraId="57E649E7"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38AE1898" w14:textId="77777777" w:rsidR="001B4719" w:rsidRPr="00CE66EF" w:rsidRDefault="001B4719" w:rsidP="00872FC3">
            <w:pPr>
              <w:spacing w:before="100" w:beforeAutospacing="1" w:after="100" w:afterAutospacing="1"/>
              <w:jc w:val="right"/>
            </w:pPr>
            <w:r w:rsidRPr="00CE66EF">
              <w:t>80</w:t>
            </w:r>
          </w:p>
        </w:tc>
        <w:tc>
          <w:tcPr>
            <w:tcW w:w="1077" w:type="dxa"/>
            <w:tcBorders>
              <w:left w:val="single" w:sz="12" w:space="0" w:color="auto"/>
              <w:right w:val="single" w:sz="12" w:space="0" w:color="auto"/>
            </w:tcBorders>
            <w:vAlign w:val="center"/>
          </w:tcPr>
          <w:p w14:paraId="09F25025" w14:textId="77777777" w:rsidR="001B4719" w:rsidRPr="00CE66EF" w:rsidRDefault="001B4719" w:rsidP="00872FC3">
            <w:pPr>
              <w:spacing w:before="100" w:beforeAutospacing="1" w:after="100" w:afterAutospacing="1"/>
              <w:jc w:val="right"/>
            </w:pPr>
            <w:r w:rsidRPr="00CE66EF">
              <w:t>2 300</w:t>
            </w:r>
          </w:p>
        </w:tc>
        <w:tc>
          <w:tcPr>
            <w:tcW w:w="1077" w:type="dxa"/>
            <w:tcBorders>
              <w:left w:val="single" w:sz="12" w:space="0" w:color="auto"/>
              <w:right w:val="single" w:sz="12" w:space="0" w:color="auto"/>
            </w:tcBorders>
            <w:vAlign w:val="center"/>
          </w:tcPr>
          <w:p w14:paraId="2FF95583" w14:textId="77777777" w:rsidR="001B4719" w:rsidRPr="00CE66EF" w:rsidRDefault="001B4719" w:rsidP="00872FC3">
            <w:pPr>
              <w:spacing w:before="100" w:beforeAutospacing="1" w:after="100" w:afterAutospacing="1"/>
              <w:jc w:val="right"/>
            </w:pPr>
            <w:r w:rsidRPr="00CE66EF">
              <w:t>6 900</w:t>
            </w:r>
          </w:p>
        </w:tc>
        <w:tc>
          <w:tcPr>
            <w:tcW w:w="1077" w:type="dxa"/>
            <w:tcBorders>
              <w:left w:val="single" w:sz="12" w:space="0" w:color="auto"/>
              <w:right w:val="single" w:sz="12" w:space="0" w:color="auto"/>
            </w:tcBorders>
            <w:vAlign w:val="center"/>
          </w:tcPr>
          <w:p w14:paraId="0B5253AA" w14:textId="77777777" w:rsidR="001B4719" w:rsidRPr="00CE66EF" w:rsidRDefault="001B4719" w:rsidP="00872FC3">
            <w:pPr>
              <w:spacing w:before="100" w:beforeAutospacing="1" w:after="100" w:afterAutospacing="1"/>
              <w:jc w:val="right"/>
            </w:pPr>
            <w:r w:rsidRPr="00CE66EF">
              <w:t>12 000</w:t>
            </w:r>
          </w:p>
        </w:tc>
        <w:tc>
          <w:tcPr>
            <w:tcW w:w="1077" w:type="dxa"/>
            <w:tcBorders>
              <w:left w:val="single" w:sz="12" w:space="0" w:color="auto"/>
              <w:right w:val="single" w:sz="12" w:space="0" w:color="auto"/>
            </w:tcBorders>
            <w:vAlign w:val="center"/>
          </w:tcPr>
          <w:p w14:paraId="706068C3" w14:textId="77777777" w:rsidR="001B4719" w:rsidRDefault="001B4719" w:rsidP="00872FC3">
            <w:pPr>
              <w:spacing w:before="100" w:beforeAutospacing="1" w:after="100" w:afterAutospacing="1"/>
              <w:jc w:val="right"/>
            </w:pPr>
            <w:r w:rsidRPr="00CE66EF">
              <w:t>12 000</w:t>
            </w:r>
          </w:p>
        </w:tc>
      </w:tr>
      <w:tr w:rsidR="001B4719" w14:paraId="47FFF03C" w14:textId="77777777" w:rsidTr="000050AA">
        <w:trPr>
          <w:trHeight w:val="510"/>
        </w:trPr>
        <w:tc>
          <w:tcPr>
            <w:tcW w:w="1134" w:type="dxa"/>
            <w:vMerge w:val="restart"/>
            <w:tcBorders>
              <w:right w:val="single" w:sz="12" w:space="0" w:color="auto"/>
            </w:tcBorders>
            <w:vAlign w:val="center"/>
          </w:tcPr>
          <w:p w14:paraId="3BC85207" w14:textId="77777777" w:rsidR="001B4719" w:rsidRPr="00454F3F" w:rsidRDefault="001B4719" w:rsidP="000050AA">
            <w:pPr>
              <w:jc w:val="both"/>
            </w:pPr>
            <w:r>
              <w:t>V - BAU</w:t>
            </w:r>
          </w:p>
        </w:tc>
        <w:tc>
          <w:tcPr>
            <w:tcW w:w="2665" w:type="dxa"/>
            <w:tcBorders>
              <w:right w:val="single" w:sz="12" w:space="0" w:color="auto"/>
            </w:tcBorders>
            <w:vAlign w:val="center"/>
          </w:tcPr>
          <w:p w14:paraId="0EFF9855"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left w:val="single" w:sz="12" w:space="0" w:color="auto"/>
              <w:right w:val="single" w:sz="12" w:space="0" w:color="auto"/>
            </w:tcBorders>
            <w:vAlign w:val="center"/>
          </w:tcPr>
          <w:p w14:paraId="7E83BAC9" w14:textId="77777777" w:rsidR="001B4719" w:rsidRPr="001C4EBE" w:rsidRDefault="001B4719" w:rsidP="00872FC3">
            <w:pPr>
              <w:spacing w:before="100" w:beforeAutospacing="1" w:after="100" w:afterAutospacing="1"/>
              <w:jc w:val="right"/>
              <w:rPr>
                <w:b/>
              </w:rPr>
            </w:pPr>
            <w:r w:rsidRPr="001C4EBE">
              <w:rPr>
                <w:b/>
              </w:rPr>
              <w:t>25 670</w:t>
            </w:r>
          </w:p>
        </w:tc>
        <w:tc>
          <w:tcPr>
            <w:tcW w:w="1077" w:type="dxa"/>
            <w:tcBorders>
              <w:left w:val="single" w:sz="12" w:space="0" w:color="auto"/>
              <w:right w:val="single" w:sz="12" w:space="0" w:color="auto"/>
            </w:tcBorders>
            <w:vAlign w:val="center"/>
          </w:tcPr>
          <w:p w14:paraId="1EA19CEB" w14:textId="77777777" w:rsidR="001B4719" w:rsidRPr="001C4EBE" w:rsidRDefault="001B4719" w:rsidP="00872FC3">
            <w:pPr>
              <w:spacing w:before="100" w:beforeAutospacing="1" w:after="100" w:afterAutospacing="1"/>
              <w:jc w:val="right"/>
              <w:rPr>
                <w:b/>
              </w:rPr>
            </w:pPr>
            <w:r w:rsidRPr="001C4EBE">
              <w:rPr>
                <w:b/>
              </w:rPr>
              <w:t>39 665</w:t>
            </w:r>
          </w:p>
        </w:tc>
        <w:tc>
          <w:tcPr>
            <w:tcW w:w="1077" w:type="dxa"/>
            <w:tcBorders>
              <w:left w:val="single" w:sz="12" w:space="0" w:color="auto"/>
              <w:right w:val="single" w:sz="12" w:space="0" w:color="auto"/>
            </w:tcBorders>
            <w:vAlign w:val="center"/>
          </w:tcPr>
          <w:p w14:paraId="390DAC6D" w14:textId="77777777" w:rsidR="001B4719" w:rsidRPr="001C4EBE" w:rsidRDefault="001B4719" w:rsidP="00872FC3">
            <w:pPr>
              <w:spacing w:before="100" w:beforeAutospacing="1" w:after="100" w:afterAutospacing="1"/>
              <w:jc w:val="right"/>
              <w:rPr>
                <w:b/>
              </w:rPr>
            </w:pPr>
            <w:r w:rsidRPr="001C4EBE">
              <w:rPr>
                <w:b/>
              </w:rPr>
              <w:t>53 840</w:t>
            </w:r>
          </w:p>
        </w:tc>
        <w:tc>
          <w:tcPr>
            <w:tcW w:w="1077" w:type="dxa"/>
            <w:tcBorders>
              <w:left w:val="single" w:sz="12" w:space="0" w:color="auto"/>
              <w:right w:val="single" w:sz="12" w:space="0" w:color="auto"/>
            </w:tcBorders>
            <w:vAlign w:val="center"/>
          </w:tcPr>
          <w:p w14:paraId="5C9CAF42" w14:textId="77777777" w:rsidR="001B4719" w:rsidRPr="001C4EBE" w:rsidRDefault="001B4719" w:rsidP="00872FC3">
            <w:pPr>
              <w:spacing w:before="100" w:beforeAutospacing="1" w:after="100" w:afterAutospacing="1"/>
              <w:jc w:val="right"/>
              <w:rPr>
                <w:b/>
              </w:rPr>
            </w:pPr>
            <w:r w:rsidRPr="001C4EBE">
              <w:rPr>
                <w:b/>
              </w:rPr>
              <w:t>47 090</w:t>
            </w:r>
          </w:p>
        </w:tc>
        <w:tc>
          <w:tcPr>
            <w:tcW w:w="1077" w:type="dxa"/>
            <w:tcBorders>
              <w:left w:val="single" w:sz="12" w:space="0" w:color="auto"/>
              <w:right w:val="single" w:sz="12" w:space="0" w:color="auto"/>
            </w:tcBorders>
            <w:vAlign w:val="center"/>
          </w:tcPr>
          <w:p w14:paraId="01FC52C5" w14:textId="77777777" w:rsidR="001B4719" w:rsidRPr="001C4EBE" w:rsidRDefault="001B4719" w:rsidP="00872FC3">
            <w:pPr>
              <w:spacing w:before="100" w:beforeAutospacing="1" w:after="100" w:afterAutospacing="1"/>
              <w:jc w:val="right"/>
              <w:rPr>
                <w:b/>
              </w:rPr>
            </w:pPr>
            <w:r w:rsidRPr="001C4EBE">
              <w:rPr>
                <w:b/>
              </w:rPr>
              <w:t>42 000</w:t>
            </w:r>
          </w:p>
        </w:tc>
      </w:tr>
      <w:tr w:rsidR="001B4719" w14:paraId="533E1681" w14:textId="77777777" w:rsidTr="000050AA">
        <w:trPr>
          <w:trHeight w:val="510"/>
        </w:trPr>
        <w:tc>
          <w:tcPr>
            <w:tcW w:w="1134" w:type="dxa"/>
            <w:vMerge/>
            <w:tcBorders>
              <w:right w:val="single" w:sz="12" w:space="0" w:color="auto"/>
            </w:tcBorders>
            <w:vAlign w:val="center"/>
          </w:tcPr>
          <w:p w14:paraId="40B00F22" w14:textId="77777777" w:rsidR="001B4719" w:rsidRPr="00454F3F" w:rsidRDefault="001B4719" w:rsidP="000050AA">
            <w:pPr>
              <w:jc w:val="both"/>
            </w:pPr>
          </w:p>
        </w:tc>
        <w:tc>
          <w:tcPr>
            <w:tcW w:w="2665" w:type="dxa"/>
            <w:tcBorders>
              <w:right w:val="single" w:sz="12" w:space="0" w:color="auto"/>
            </w:tcBorders>
            <w:vAlign w:val="center"/>
          </w:tcPr>
          <w:p w14:paraId="3D4153F5"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0E3EB839" w14:textId="77777777" w:rsidR="001B4719" w:rsidRPr="00275199" w:rsidRDefault="001B4719" w:rsidP="00872FC3">
            <w:pPr>
              <w:spacing w:before="100" w:beforeAutospacing="1" w:after="100" w:afterAutospacing="1"/>
              <w:jc w:val="right"/>
            </w:pPr>
            <w:r w:rsidRPr="00275199">
              <w:t>24 000</w:t>
            </w:r>
          </w:p>
        </w:tc>
        <w:tc>
          <w:tcPr>
            <w:tcW w:w="1077" w:type="dxa"/>
            <w:tcBorders>
              <w:left w:val="single" w:sz="12" w:space="0" w:color="auto"/>
              <w:right w:val="single" w:sz="12" w:space="0" w:color="auto"/>
            </w:tcBorders>
            <w:vAlign w:val="center"/>
          </w:tcPr>
          <w:p w14:paraId="172E0A7F" w14:textId="77777777" w:rsidR="001B4719" w:rsidRPr="00275199" w:rsidRDefault="001B4719" w:rsidP="00872FC3">
            <w:pPr>
              <w:spacing w:before="100" w:beforeAutospacing="1" w:after="100" w:afterAutospacing="1"/>
              <w:jc w:val="right"/>
            </w:pPr>
            <w:r w:rsidRPr="00275199">
              <w:t>35 000</w:t>
            </w:r>
          </w:p>
        </w:tc>
        <w:tc>
          <w:tcPr>
            <w:tcW w:w="1077" w:type="dxa"/>
            <w:tcBorders>
              <w:left w:val="single" w:sz="12" w:space="0" w:color="auto"/>
              <w:right w:val="single" w:sz="12" w:space="0" w:color="auto"/>
            </w:tcBorders>
            <w:vAlign w:val="center"/>
          </w:tcPr>
          <w:p w14:paraId="5C556EEB" w14:textId="77777777" w:rsidR="001B4719" w:rsidRPr="00275199" w:rsidRDefault="001B4719" w:rsidP="00872FC3">
            <w:pPr>
              <w:spacing w:before="100" w:beforeAutospacing="1" w:after="100" w:afterAutospacing="1"/>
              <w:jc w:val="right"/>
            </w:pPr>
            <w:r w:rsidRPr="00275199">
              <w:t>44 000</w:t>
            </w:r>
          </w:p>
        </w:tc>
        <w:tc>
          <w:tcPr>
            <w:tcW w:w="1077" w:type="dxa"/>
            <w:tcBorders>
              <w:left w:val="single" w:sz="12" w:space="0" w:color="auto"/>
              <w:right w:val="single" w:sz="12" w:space="0" w:color="auto"/>
            </w:tcBorders>
            <w:vAlign w:val="center"/>
          </w:tcPr>
          <w:p w14:paraId="548D23D5" w14:textId="77777777" w:rsidR="001B4719" w:rsidRPr="00275199" w:rsidRDefault="001B4719" w:rsidP="00872FC3">
            <w:pPr>
              <w:spacing w:before="100" w:beforeAutospacing="1" w:after="100" w:afterAutospacing="1"/>
              <w:jc w:val="right"/>
            </w:pPr>
            <w:r w:rsidRPr="00275199">
              <w:t>32 300</w:t>
            </w:r>
          </w:p>
        </w:tc>
        <w:tc>
          <w:tcPr>
            <w:tcW w:w="1077" w:type="dxa"/>
            <w:tcBorders>
              <w:left w:val="single" w:sz="12" w:space="0" w:color="auto"/>
              <w:right w:val="single" w:sz="12" w:space="0" w:color="auto"/>
            </w:tcBorders>
            <w:vAlign w:val="center"/>
          </w:tcPr>
          <w:p w14:paraId="45A482E3" w14:textId="77777777" w:rsidR="001B4719" w:rsidRPr="00275199" w:rsidRDefault="001B4719" w:rsidP="00872FC3">
            <w:pPr>
              <w:spacing w:before="100" w:beforeAutospacing="1" w:after="100" w:afterAutospacing="1"/>
              <w:jc w:val="right"/>
            </w:pPr>
            <w:r w:rsidRPr="00275199">
              <w:t>27 385</w:t>
            </w:r>
          </w:p>
        </w:tc>
      </w:tr>
      <w:tr w:rsidR="001B4719" w14:paraId="258F2644" w14:textId="77777777" w:rsidTr="000050AA">
        <w:trPr>
          <w:trHeight w:val="510"/>
        </w:trPr>
        <w:tc>
          <w:tcPr>
            <w:tcW w:w="1134" w:type="dxa"/>
            <w:vMerge/>
            <w:tcBorders>
              <w:right w:val="single" w:sz="12" w:space="0" w:color="auto"/>
            </w:tcBorders>
            <w:vAlign w:val="center"/>
          </w:tcPr>
          <w:p w14:paraId="0FF23D1D" w14:textId="77777777" w:rsidR="001B4719" w:rsidRPr="00454F3F" w:rsidRDefault="001B4719" w:rsidP="000050AA">
            <w:pPr>
              <w:jc w:val="both"/>
            </w:pPr>
          </w:p>
        </w:tc>
        <w:tc>
          <w:tcPr>
            <w:tcW w:w="2665" w:type="dxa"/>
            <w:tcBorders>
              <w:right w:val="single" w:sz="12" w:space="0" w:color="auto"/>
            </w:tcBorders>
            <w:vAlign w:val="center"/>
          </w:tcPr>
          <w:p w14:paraId="5B1F4ABD"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5A832042" w14:textId="77777777" w:rsidR="001B4719" w:rsidRPr="00275199" w:rsidRDefault="001B4719" w:rsidP="00872FC3">
            <w:pPr>
              <w:spacing w:before="100" w:beforeAutospacing="1" w:after="100" w:afterAutospacing="1"/>
              <w:jc w:val="right"/>
            </w:pPr>
            <w:r w:rsidRPr="00275199">
              <w:t>1 290</w:t>
            </w:r>
          </w:p>
        </w:tc>
        <w:tc>
          <w:tcPr>
            <w:tcW w:w="1077" w:type="dxa"/>
            <w:tcBorders>
              <w:left w:val="single" w:sz="12" w:space="0" w:color="auto"/>
              <w:right w:val="single" w:sz="12" w:space="0" w:color="auto"/>
            </w:tcBorders>
            <w:vAlign w:val="center"/>
          </w:tcPr>
          <w:p w14:paraId="73795785" w14:textId="77777777" w:rsidR="001B4719" w:rsidRPr="00275199" w:rsidRDefault="001B4719" w:rsidP="00872FC3">
            <w:pPr>
              <w:spacing w:before="100" w:beforeAutospacing="1" w:after="100" w:afterAutospacing="1"/>
              <w:jc w:val="right"/>
            </w:pPr>
            <w:r w:rsidRPr="00275199">
              <w:t>1 515</w:t>
            </w:r>
          </w:p>
        </w:tc>
        <w:tc>
          <w:tcPr>
            <w:tcW w:w="1077" w:type="dxa"/>
            <w:tcBorders>
              <w:left w:val="single" w:sz="12" w:space="0" w:color="auto"/>
              <w:right w:val="single" w:sz="12" w:space="0" w:color="auto"/>
            </w:tcBorders>
            <w:vAlign w:val="center"/>
          </w:tcPr>
          <w:p w14:paraId="111F7777" w14:textId="77777777" w:rsidR="001B4719" w:rsidRPr="00275199" w:rsidRDefault="001B4719" w:rsidP="00872FC3">
            <w:pPr>
              <w:spacing w:before="100" w:beforeAutospacing="1" w:after="100" w:afterAutospacing="1"/>
              <w:jc w:val="right"/>
            </w:pPr>
            <w:r w:rsidRPr="00275199">
              <w:t>1 740</w:t>
            </w:r>
          </w:p>
        </w:tc>
        <w:tc>
          <w:tcPr>
            <w:tcW w:w="1077" w:type="dxa"/>
            <w:tcBorders>
              <w:left w:val="single" w:sz="12" w:space="0" w:color="auto"/>
              <w:right w:val="single" w:sz="12" w:space="0" w:color="auto"/>
            </w:tcBorders>
            <w:vAlign w:val="center"/>
          </w:tcPr>
          <w:p w14:paraId="7F36C44D" w14:textId="77777777" w:rsidR="001B4719" w:rsidRPr="00275199" w:rsidRDefault="001B4719" w:rsidP="00872FC3">
            <w:pPr>
              <w:spacing w:before="100" w:beforeAutospacing="1" w:after="100" w:afterAutospacing="1"/>
              <w:jc w:val="right"/>
            </w:pPr>
            <w:r w:rsidRPr="00275199">
              <w:t>2 190</w:t>
            </w:r>
          </w:p>
        </w:tc>
        <w:tc>
          <w:tcPr>
            <w:tcW w:w="1077" w:type="dxa"/>
            <w:tcBorders>
              <w:left w:val="single" w:sz="12" w:space="0" w:color="auto"/>
              <w:right w:val="single" w:sz="12" w:space="0" w:color="auto"/>
            </w:tcBorders>
            <w:vAlign w:val="center"/>
          </w:tcPr>
          <w:p w14:paraId="7315C763" w14:textId="77777777" w:rsidR="001B4719" w:rsidRPr="00275199" w:rsidRDefault="001B4719" w:rsidP="00872FC3">
            <w:pPr>
              <w:spacing w:before="100" w:beforeAutospacing="1" w:after="100" w:afterAutospacing="1"/>
              <w:jc w:val="right"/>
            </w:pPr>
            <w:r w:rsidRPr="00275199">
              <w:t>2 415</w:t>
            </w:r>
          </w:p>
        </w:tc>
      </w:tr>
      <w:tr w:rsidR="001B4719" w14:paraId="62872574" w14:textId="77777777" w:rsidTr="000050AA">
        <w:trPr>
          <w:trHeight w:val="510"/>
        </w:trPr>
        <w:tc>
          <w:tcPr>
            <w:tcW w:w="1134" w:type="dxa"/>
            <w:vMerge/>
            <w:tcBorders>
              <w:right w:val="single" w:sz="12" w:space="0" w:color="auto"/>
            </w:tcBorders>
            <w:vAlign w:val="center"/>
          </w:tcPr>
          <w:p w14:paraId="7FBBB792" w14:textId="77777777" w:rsidR="001B4719" w:rsidRPr="00454F3F" w:rsidRDefault="001B4719" w:rsidP="000050AA">
            <w:pPr>
              <w:jc w:val="both"/>
            </w:pPr>
          </w:p>
        </w:tc>
        <w:tc>
          <w:tcPr>
            <w:tcW w:w="2665" w:type="dxa"/>
            <w:tcBorders>
              <w:right w:val="single" w:sz="12" w:space="0" w:color="auto"/>
            </w:tcBorders>
            <w:vAlign w:val="center"/>
          </w:tcPr>
          <w:p w14:paraId="5F7E5712"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0CDF3146" w14:textId="77777777" w:rsidR="001B4719" w:rsidRPr="00275199" w:rsidRDefault="001B4719" w:rsidP="00872FC3">
            <w:pPr>
              <w:spacing w:before="100" w:beforeAutospacing="1" w:after="100" w:afterAutospacing="1"/>
              <w:jc w:val="right"/>
            </w:pPr>
            <w:r w:rsidRPr="00275199">
              <w:t>300</w:t>
            </w:r>
          </w:p>
        </w:tc>
        <w:tc>
          <w:tcPr>
            <w:tcW w:w="1077" w:type="dxa"/>
            <w:tcBorders>
              <w:left w:val="single" w:sz="12" w:space="0" w:color="auto"/>
              <w:right w:val="single" w:sz="12" w:space="0" w:color="auto"/>
            </w:tcBorders>
            <w:vAlign w:val="center"/>
          </w:tcPr>
          <w:p w14:paraId="6971F4D6" w14:textId="77777777" w:rsidR="001B4719" w:rsidRPr="00275199" w:rsidRDefault="001B4719" w:rsidP="00872FC3">
            <w:pPr>
              <w:spacing w:before="100" w:beforeAutospacing="1" w:after="100" w:afterAutospacing="1"/>
              <w:jc w:val="right"/>
            </w:pPr>
            <w:r w:rsidRPr="00275199">
              <w:t>850</w:t>
            </w:r>
          </w:p>
        </w:tc>
        <w:tc>
          <w:tcPr>
            <w:tcW w:w="1077" w:type="dxa"/>
            <w:tcBorders>
              <w:left w:val="single" w:sz="12" w:space="0" w:color="auto"/>
              <w:right w:val="single" w:sz="12" w:space="0" w:color="auto"/>
            </w:tcBorders>
            <w:vAlign w:val="center"/>
          </w:tcPr>
          <w:p w14:paraId="53CAAE9A" w14:textId="77777777" w:rsidR="001B4719" w:rsidRPr="00275199" w:rsidRDefault="001B4719" w:rsidP="00872FC3">
            <w:pPr>
              <w:spacing w:before="100" w:beforeAutospacing="1" w:after="100" w:afterAutospacing="1"/>
              <w:jc w:val="right"/>
            </w:pPr>
            <w:r w:rsidRPr="00275199">
              <w:t>1 200</w:t>
            </w:r>
          </w:p>
        </w:tc>
        <w:tc>
          <w:tcPr>
            <w:tcW w:w="1077" w:type="dxa"/>
            <w:tcBorders>
              <w:left w:val="single" w:sz="12" w:space="0" w:color="auto"/>
              <w:right w:val="single" w:sz="12" w:space="0" w:color="auto"/>
            </w:tcBorders>
            <w:vAlign w:val="center"/>
          </w:tcPr>
          <w:p w14:paraId="21992343" w14:textId="77777777" w:rsidR="001B4719" w:rsidRPr="00275199" w:rsidRDefault="001B4719" w:rsidP="00872FC3">
            <w:pPr>
              <w:spacing w:before="100" w:beforeAutospacing="1" w:after="100" w:afterAutospacing="1"/>
              <w:jc w:val="right"/>
            </w:pPr>
            <w:r w:rsidRPr="00275199">
              <w:t>600</w:t>
            </w:r>
          </w:p>
        </w:tc>
        <w:tc>
          <w:tcPr>
            <w:tcW w:w="1077" w:type="dxa"/>
            <w:tcBorders>
              <w:left w:val="single" w:sz="12" w:space="0" w:color="auto"/>
              <w:right w:val="single" w:sz="12" w:space="0" w:color="auto"/>
            </w:tcBorders>
            <w:vAlign w:val="center"/>
          </w:tcPr>
          <w:p w14:paraId="0AEA889A" w14:textId="77777777" w:rsidR="001B4719" w:rsidRPr="00275199" w:rsidRDefault="001B4719" w:rsidP="00872FC3">
            <w:pPr>
              <w:spacing w:before="100" w:beforeAutospacing="1" w:after="100" w:afterAutospacing="1"/>
              <w:jc w:val="right"/>
            </w:pPr>
            <w:r w:rsidRPr="00275199">
              <w:t>200</w:t>
            </w:r>
          </w:p>
        </w:tc>
      </w:tr>
      <w:tr w:rsidR="001B4719" w14:paraId="5D5B543C" w14:textId="77777777" w:rsidTr="000050AA">
        <w:trPr>
          <w:trHeight w:val="510"/>
        </w:trPr>
        <w:tc>
          <w:tcPr>
            <w:tcW w:w="1134" w:type="dxa"/>
            <w:vMerge/>
            <w:tcBorders>
              <w:right w:val="single" w:sz="12" w:space="0" w:color="auto"/>
            </w:tcBorders>
            <w:vAlign w:val="center"/>
          </w:tcPr>
          <w:p w14:paraId="75B4C51B" w14:textId="77777777" w:rsidR="001B4719" w:rsidRPr="00454F3F" w:rsidRDefault="001B4719" w:rsidP="000050AA">
            <w:pPr>
              <w:jc w:val="both"/>
            </w:pPr>
          </w:p>
        </w:tc>
        <w:tc>
          <w:tcPr>
            <w:tcW w:w="2665" w:type="dxa"/>
            <w:tcBorders>
              <w:right w:val="single" w:sz="12" w:space="0" w:color="auto"/>
            </w:tcBorders>
            <w:vAlign w:val="center"/>
          </w:tcPr>
          <w:p w14:paraId="32FA8137"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4F3BDDBE" w14:textId="77777777" w:rsidR="001B4719" w:rsidRPr="00275199" w:rsidRDefault="001B4719" w:rsidP="00872FC3">
            <w:pPr>
              <w:spacing w:before="100" w:beforeAutospacing="1" w:after="100" w:afterAutospacing="1"/>
              <w:jc w:val="right"/>
            </w:pPr>
            <w:r w:rsidRPr="00275199">
              <w:t>80</w:t>
            </w:r>
          </w:p>
        </w:tc>
        <w:tc>
          <w:tcPr>
            <w:tcW w:w="1077" w:type="dxa"/>
            <w:tcBorders>
              <w:left w:val="single" w:sz="12" w:space="0" w:color="auto"/>
              <w:right w:val="single" w:sz="12" w:space="0" w:color="auto"/>
            </w:tcBorders>
            <w:vAlign w:val="center"/>
          </w:tcPr>
          <w:p w14:paraId="46B695CB" w14:textId="77777777" w:rsidR="001B4719" w:rsidRPr="00275199" w:rsidRDefault="001B4719" w:rsidP="00872FC3">
            <w:pPr>
              <w:spacing w:before="100" w:beforeAutospacing="1" w:after="100" w:afterAutospacing="1"/>
              <w:jc w:val="right"/>
            </w:pPr>
            <w:r w:rsidRPr="00275199">
              <w:t>2 300</w:t>
            </w:r>
          </w:p>
        </w:tc>
        <w:tc>
          <w:tcPr>
            <w:tcW w:w="1077" w:type="dxa"/>
            <w:tcBorders>
              <w:left w:val="single" w:sz="12" w:space="0" w:color="auto"/>
              <w:right w:val="single" w:sz="12" w:space="0" w:color="auto"/>
            </w:tcBorders>
            <w:vAlign w:val="center"/>
          </w:tcPr>
          <w:p w14:paraId="659D696E" w14:textId="77777777" w:rsidR="001B4719" w:rsidRPr="00275199" w:rsidRDefault="001B4719" w:rsidP="00872FC3">
            <w:pPr>
              <w:spacing w:before="100" w:beforeAutospacing="1" w:after="100" w:afterAutospacing="1"/>
              <w:jc w:val="right"/>
            </w:pPr>
            <w:r w:rsidRPr="00275199">
              <w:t>6 900</w:t>
            </w:r>
          </w:p>
        </w:tc>
        <w:tc>
          <w:tcPr>
            <w:tcW w:w="1077" w:type="dxa"/>
            <w:tcBorders>
              <w:left w:val="single" w:sz="12" w:space="0" w:color="auto"/>
              <w:right w:val="single" w:sz="12" w:space="0" w:color="auto"/>
            </w:tcBorders>
            <w:vAlign w:val="center"/>
          </w:tcPr>
          <w:p w14:paraId="62E2953F" w14:textId="77777777" w:rsidR="001B4719" w:rsidRPr="00275199" w:rsidRDefault="001B4719" w:rsidP="00872FC3">
            <w:pPr>
              <w:spacing w:before="100" w:beforeAutospacing="1" w:after="100" w:afterAutospacing="1"/>
              <w:jc w:val="right"/>
            </w:pPr>
            <w:r w:rsidRPr="00275199">
              <w:t>12 000</w:t>
            </w:r>
          </w:p>
        </w:tc>
        <w:tc>
          <w:tcPr>
            <w:tcW w:w="1077" w:type="dxa"/>
            <w:tcBorders>
              <w:left w:val="single" w:sz="12" w:space="0" w:color="auto"/>
              <w:right w:val="single" w:sz="12" w:space="0" w:color="auto"/>
            </w:tcBorders>
            <w:vAlign w:val="center"/>
          </w:tcPr>
          <w:p w14:paraId="29848E7F" w14:textId="77777777" w:rsidR="001B4719" w:rsidRDefault="001B4719" w:rsidP="00872FC3">
            <w:pPr>
              <w:spacing w:before="100" w:beforeAutospacing="1" w:after="100" w:afterAutospacing="1"/>
              <w:jc w:val="right"/>
            </w:pPr>
            <w:r w:rsidRPr="00275199">
              <w:t>12 000</w:t>
            </w:r>
          </w:p>
        </w:tc>
      </w:tr>
      <w:tr w:rsidR="001B4719" w14:paraId="689DFB16" w14:textId="77777777" w:rsidTr="000050AA">
        <w:trPr>
          <w:trHeight w:val="510"/>
        </w:trPr>
        <w:tc>
          <w:tcPr>
            <w:tcW w:w="1134" w:type="dxa"/>
            <w:vMerge w:val="restart"/>
            <w:tcBorders>
              <w:right w:val="single" w:sz="12" w:space="0" w:color="auto"/>
            </w:tcBorders>
            <w:vAlign w:val="center"/>
          </w:tcPr>
          <w:p w14:paraId="13BB612F" w14:textId="77777777" w:rsidR="001B4719" w:rsidRPr="00454F3F" w:rsidRDefault="001B4719" w:rsidP="000050AA">
            <w:pPr>
              <w:jc w:val="both"/>
            </w:pPr>
            <w:r>
              <w:lastRenderedPageBreak/>
              <w:t>V - BP</w:t>
            </w:r>
          </w:p>
        </w:tc>
        <w:tc>
          <w:tcPr>
            <w:tcW w:w="2665" w:type="dxa"/>
            <w:tcBorders>
              <w:right w:val="single" w:sz="12" w:space="0" w:color="auto"/>
            </w:tcBorders>
            <w:vAlign w:val="center"/>
          </w:tcPr>
          <w:p w14:paraId="168C0452"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left w:val="single" w:sz="12" w:space="0" w:color="auto"/>
              <w:right w:val="single" w:sz="12" w:space="0" w:color="auto"/>
            </w:tcBorders>
            <w:vAlign w:val="center"/>
          </w:tcPr>
          <w:p w14:paraId="148E72C4" w14:textId="77777777" w:rsidR="001B4719" w:rsidRPr="001C4EBE" w:rsidRDefault="001B4719" w:rsidP="00872FC3">
            <w:pPr>
              <w:spacing w:before="100" w:beforeAutospacing="1" w:after="100" w:afterAutospacing="1"/>
              <w:jc w:val="right"/>
              <w:rPr>
                <w:b/>
              </w:rPr>
            </w:pPr>
            <w:r w:rsidRPr="001C4EBE">
              <w:rPr>
                <w:b/>
              </w:rPr>
              <w:t>22 750</w:t>
            </w:r>
          </w:p>
        </w:tc>
        <w:tc>
          <w:tcPr>
            <w:tcW w:w="1077" w:type="dxa"/>
            <w:tcBorders>
              <w:left w:val="single" w:sz="12" w:space="0" w:color="auto"/>
              <w:right w:val="single" w:sz="12" w:space="0" w:color="auto"/>
            </w:tcBorders>
            <w:vAlign w:val="center"/>
          </w:tcPr>
          <w:p w14:paraId="37D58CCA" w14:textId="77777777" w:rsidR="001B4719" w:rsidRPr="001C4EBE" w:rsidRDefault="001B4719" w:rsidP="00872FC3">
            <w:pPr>
              <w:spacing w:before="100" w:beforeAutospacing="1" w:after="100" w:afterAutospacing="1"/>
              <w:jc w:val="right"/>
              <w:rPr>
                <w:b/>
              </w:rPr>
            </w:pPr>
            <w:r w:rsidRPr="001C4EBE">
              <w:rPr>
                <w:b/>
              </w:rPr>
              <w:t>29 300</w:t>
            </w:r>
          </w:p>
        </w:tc>
        <w:tc>
          <w:tcPr>
            <w:tcW w:w="1077" w:type="dxa"/>
            <w:tcBorders>
              <w:left w:val="single" w:sz="12" w:space="0" w:color="auto"/>
              <w:right w:val="single" w:sz="12" w:space="0" w:color="auto"/>
            </w:tcBorders>
            <w:vAlign w:val="center"/>
          </w:tcPr>
          <w:p w14:paraId="1686F515" w14:textId="77777777" w:rsidR="001B4719" w:rsidRPr="001C4EBE" w:rsidRDefault="001B4719" w:rsidP="00872FC3">
            <w:pPr>
              <w:spacing w:before="100" w:beforeAutospacing="1" w:after="100" w:afterAutospacing="1"/>
              <w:jc w:val="right"/>
              <w:rPr>
                <w:b/>
              </w:rPr>
            </w:pPr>
            <w:r w:rsidRPr="001C4EBE">
              <w:rPr>
                <w:b/>
              </w:rPr>
              <w:t>26 240</w:t>
            </w:r>
          </w:p>
        </w:tc>
        <w:tc>
          <w:tcPr>
            <w:tcW w:w="1077" w:type="dxa"/>
            <w:tcBorders>
              <w:left w:val="single" w:sz="12" w:space="0" w:color="auto"/>
              <w:right w:val="single" w:sz="12" w:space="0" w:color="auto"/>
            </w:tcBorders>
            <w:vAlign w:val="center"/>
          </w:tcPr>
          <w:p w14:paraId="5274D5FC" w14:textId="77777777" w:rsidR="001B4719" w:rsidRPr="001C4EBE" w:rsidRDefault="001B4719" w:rsidP="00872FC3">
            <w:pPr>
              <w:spacing w:before="100" w:beforeAutospacing="1" w:after="100" w:afterAutospacing="1"/>
              <w:jc w:val="right"/>
              <w:rPr>
                <w:b/>
              </w:rPr>
            </w:pPr>
            <w:r w:rsidRPr="001C4EBE">
              <w:rPr>
                <w:b/>
              </w:rPr>
              <w:t>14 840</w:t>
            </w:r>
          </w:p>
        </w:tc>
        <w:tc>
          <w:tcPr>
            <w:tcW w:w="1077" w:type="dxa"/>
            <w:tcBorders>
              <w:left w:val="single" w:sz="12" w:space="0" w:color="auto"/>
              <w:right w:val="single" w:sz="12" w:space="0" w:color="auto"/>
            </w:tcBorders>
            <w:vAlign w:val="center"/>
          </w:tcPr>
          <w:p w14:paraId="6741F697" w14:textId="77777777" w:rsidR="001B4719" w:rsidRPr="001C4EBE" w:rsidRDefault="001B4719" w:rsidP="00872FC3">
            <w:pPr>
              <w:spacing w:before="100" w:beforeAutospacing="1" w:after="100" w:afterAutospacing="1"/>
              <w:jc w:val="right"/>
              <w:rPr>
                <w:b/>
              </w:rPr>
            </w:pPr>
            <w:r w:rsidRPr="001C4EBE">
              <w:rPr>
                <w:b/>
              </w:rPr>
              <w:t>7 115</w:t>
            </w:r>
          </w:p>
        </w:tc>
      </w:tr>
      <w:tr w:rsidR="001B4719" w14:paraId="7A984192" w14:textId="77777777" w:rsidTr="000050AA">
        <w:trPr>
          <w:trHeight w:val="510"/>
        </w:trPr>
        <w:tc>
          <w:tcPr>
            <w:tcW w:w="1134" w:type="dxa"/>
            <w:vMerge/>
            <w:tcBorders>
              <w:right w:val="single" w:sz="12" w:space="0" w:color="auto"/>
            </w:tcBorders>
            <w:vAlign w:val="center"/>
          </w:tcPr>
          <w:p w14:paraId="0FB65AFB" w14:textId="77777777" w:rsidR="001B4719" w:rsidRPr="00454F3F" w:rsidRDefault="001B4719" w:rsidP="000050AA">
            <w:pPr>
              <w:jc w:val="both"/>
            </w:pPr>
          </w:p>
        </w:tc>
        <w:tc>
          <w:tcPr>
            <w:tcW w:w="2665" w:type="dxa"/>
            <w:tcBorders>
              <w:right w:val="single" w:sz="12" w:space="0" w:color="auto"/>
            </w:tcBorders>
            <w:vAlign w:val="center"/>
          </w:tcPr>
          <w:p w14:paraId="61CCF672"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0F175426" w14:textId="77777777" w:rsidR="001B4719" w:rsidRPr="00A92AD5" w:rsidRDefault="001B4719" w:rsidP="00872FC3">
            <w:pPr>
              <w:spacing w:before="100" w:beforeAutospacing="1" w:after="100" w:afterAutospacing="1"/>
              <w:jc w:val="right"/>
            </w:pPr>
            <w:r w:rsidRPr="00A92AD5">
              <w:t>21 100</w:t>
            </w:r>
          </w:p>
        </w:tc>
        <w:tc>
          <w:tcPr>
            <w:tcW w:w="1077" w:type="dxa"/>
            <w:tcBorders>
              <w:left w:val="single" w:sz="12" w:space="0" w:color="auto"/>
              <w:right w:val="single" w:sz="12" w:space="0" w:color="auto"/>
            </w:tcBorders>
            <w:vAlign w:val="center"/>
          </w:tcPr>
          <w:p w14:paraId="0D03FC64" w14:textId="77777777" w:rsidR="001B4719" w:rsidRPr="00A92AD5" w:rsidRDefault="001B4719" w:rsidP="00872FC3">
            <w:pPr>
              <w:spacing w:before="100" w:beforeAutospacing="1" w:after="100" w:afterAutospacing="1"/>
              <w:jc w:val="right"/>
            </w:pPr>
            <w:r w:rsidRPr="00A92AD5">
              <w:t>25 435</w:t>
            </w:r>
          </w:p>
        </w:tc>
        <w:tc>
          <w:tcPr>
            <w:tcW w:w="1077" w:type="dxa"/>
            <w:tcBorders>
              <w:left w:val="single" w:sz="12" w:space="0" w:color="auto"/>
              <w:right w:val="single" w:sz="12" w:space="0" w:color="auto"/>
            </w:tcBorders>
            <w:vAlign w:val="center"/>
          </w:tcPr>
          <w:p w14:paraId="6CF63FD9" w14:textId="77777777" w:rsidR="001B4719" w:rsidRPr="00A92AD5" w:rsidRDefault="001B4719" w:rsidP="00872FC3">
            <w:pPr>
              <w:spacing w:before="100" w:beforeAutospacing="1" w:after="100" w:afterAutospacing="1"/>
              <w:jc w:val="right"/>
            </w:pPr>
            <w:r w:rsidRPr="00A92AD5">
              <w:t>20 000</w:t>
            </w:r>
          </w:p>
        </w:tc>
        <w:tc>
          <w:tcPr>
            <w:tcW w:w="1077" w:type="dxa"/>
            <w:tcBorders>
              <w:left w:val="single" w:sz="12" w:space="0" w:color="auto"/>
              <w:right w:val="single" w:sz="12" w:space="0" w:color="auto"/>
            </w:tcBorders>
            <w:vAlign w:val="center"/>
          </w:tcPr>
          <w:p w14:paraId="3DFC5886" w14:textId="77777777" w:rsidR="001B4719" w:rsidRPr="00A92AD5" w:rsidRDefault="001B4719" w:rsidP="00872FC3">
            <w:pPr>
              <w:spacing w:before="100" w:beforeAutospacing="1" w:after="100" w:afterAutospacing="1"/>
              <w:jc w:val="right"/>
            </w:pPr>
            <w:r w:rsidRPr="00A92AD5">
              <w:t>8 000</w:t>
            </w:r>
          </w:p>
        </w:tc>
        <w:tc>
          <w:tcPr>
            <w:tcW w:w="1077" w:type="dxa"/>
            <w:tcBorders>
              <w:left w:val="single" w:sz="12" w:space="0" w:color="auto"/>
              <w:right w:val="single" w:sz="12" w:space="0" w:color="auto"/>
            </w:tcBorders>
            <w:vAlign w:val="center"/>
          </w:tcPr>
          <w:p w14:paraId="14DCEDB7" w14:textId="77777777" w:rsidR="001B4719" w:rsidRPr="00A92AD5" w:rsidRDefault="001B4719" w:rsidP="00872FC3">
            <w:pPr>
              <w:spacing w:before="100" w:beforeAutospacing="1" w:after="100" w:afterAutospacing="1"/>
              <w:jc w:val="right"/>
            </w:pPr>
            <w:r w:rsidRPr="00A92AD5">
              <w:t>2 000</w:t>
            </w:r>
          </w:p>
        </w:tc>
      </w:tr>
      <w:tr w:rsidR="001B4719" w14:paraId="395F1D58" w14:textId="77777777" w:rsidTr="000050AA">
        <w:trPr>
          <w:trHeight w:val="510"/>
        </w:trPr>
        <w:tc>
          <w:tcPr>
            <w:tcW w:w="1134" w:type="dxa"/>
            <w:vMerge/>
            <w:tcBorders>
              <w:right w:val="single" w:sz="12" w:space="0" w:color="auto"/>
            </w:tcBorders>
            <w:vAlign w:val="center"/>
          </w:tcPr>
          <w:p w14:paraId="3E1871CE" w14:textId="77777777" w:rsidR="001B4719" w:rsidRPr="00454F3F" w:rsidRDefault="001B4719" w:rsidP="000050AA">
            <w:pPr>
              <w:jc w:val="both"/>
            </w:pPr>
          </w:p>
        </w:tc>
        <w:tc>
          <w:tcPr>
            <w:tcW w:w="2665" w:type="dxa"/>
            <w:tcBorders>
              <w:right w:val="single" w:sz="12" w:space="0" w:color="auto"/>
            </w:tcBorders>
            <w:vAlign w:val="center"/>
          </w:tcPr>
          <w:p w14:paraId="4AD2B7BD"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10DFA794" w14:textId="77777777" w:rsidR="001B4719" w:rsidRPr="00A92AD5" w:rsidRDefault="001B4719" w:rsidP="00872FC3">
            <w:pPr>
              <w:spacing w:before="100" w:beforeAutospacing="1" w:after="100" w:afterAutospacing="1"/>
              <w:jc w:val="right"/>
            </w:pPr>
            <w:r w:rsidRPr="00A92AD5">
              <w:t>1 290</w:t>
            </w:r>
          </w:p>
        </w:tc>
        <w:tc>
          <w:tcPr>
            <w:tcW w:w="1077" w:type="dxa"/>
            <w:tcBorders>
              <w:left w:val="single" w:sz="12" w:space="0" w:color="auto"/>
              <w:right w:val="single" w:sz="12" w:space="0" w:color="auto"/>
            </w:tcBorders>
            <w:vAlign w:val="center"/>
          </w:tcPr>
          <w:p w14:paraId="6F2C8B0A" w14:textId="77777777" w:rsidR="001B4719" w:rsidRPr="00A92AD5" w:rsidRDefault="001B4719" w:rsidP="00872FC3">
            <w:pPr>
              <w:spacing w:before="100" w:beforeAutospacing="1" w:after="100" w:afterAutospacing="1"/>
              <w:jc w:val="right"/>
            </w:pPr>
            <w:r w:rsidRPr="00A92AD5">
              <w:t>1 515</w:t>
            </w:r>
          </w:p>
        </w:tc>
        <w:tc>
          <w:tcPr>
            <w:tcW w:w="1077" w:type="dxa"/>
            <w:tcBorders>
              <w:left w:val="single" w:sz="12" w:space="0" w:color="auto"/>
              <w:right w:val="single" w:sz="12" w:space="0" w:color="auto"/>
            </w:tcBorders>
            <w:vAlign w:val="center"/>
          </w:tcPr>
          <w:p w14:paraId="1ADEFA44" w14:textId="77777777" w:rsidR="001B4719" w:rsidRPr="00A92AD5" w:rsidRDefault="001B4719" w:rsidP="00872FC3">
            <w:pPr>
              <w:spacing w:before="100" w:beforeAutospacing="1" w:after="100" w:afterAutospacing="1"/>
              <w:jc w:val="right"/>
            </w:pPr>
            <w:r w:rsidRPr="00A92AD5">
              <w:t>1 740</w:t>
            </w:r>
          </w:p>
        </w:tc>
        <w:tc>
          <w:tcPr>
            <w:tcW w:w="1077" w:type="dxa"/>
            <w:tcBorders>
              <w:left w:val="single" w:sz="12" w:space="0" w:color="auto"/>
              <w:right w:val="single" w:sz="12" w:space="0" w:color="auto"/>
            </w:tcBorders>
            <w:vAlign w:val="center"/>
          </w:tcPr>
          <w:p w14:paraId="7733D173" w14:textId="77777777" w:rsidR="001B4719" w:rsidRPr="00A92AD5" w:rsidRDefault="001B4719" w:rsidP="00872FC3">
            <w:pPr>
              <w:spacing w:before="100" w:beforeAutospacing="1" w:after="100" w:afterAutospacing="1"/>
              <w:jc w:val="right"/>
            </w:pPr>
            <w:r w:rsidRPr="00A92AD5">
              <w:t>2 190</w:t>
            </w:r>
          </w:p>
        </w:tc>
        <w:tc>
          <w:tcPr>
            <w:tcW w:w="1077" w:type="dxa"/>
            <w:tcBorders>
              <w:left w:val="single" w:sz="12" w:space="0" w:color="auto"/>
              <w:right w:val="single" w:sz="12" w:space="0" w:color="auto"/>
            </w:tcBorders>
            <w:vAlign w:val="center"/>
          </w:tcPr>
          <w:p w14:paraId="19F72550" w14:textId="77777777" w:rsidR="001B4719" w:rsidRPr="00A92AD5" w:rsidRDefault="001B4719" w:rsidP="00872FC3">
            <w:pPr>
              <w:spacing w:before="100" w:beforeAutospacing="1" w:after="100" w:afterAutospacing="1"/>
              <w:jc w:val="right"/>
            </w:pPr>
            <w:r w:rsidRPr="00A92AD5">
              <w:t>2 415</w:t>
            </w:r>
          </w:p>
        </w:tc>
      </w:tr>
      <w:tr w:rsidR="001B4719" w14:paraId="51D30789" w14:textId="77777777" w:rsidTr="000050AA">
        <w:trPr>
          <w:trHeight w:val="510"/>
        </w:trPr>
        <w:tc>
          <w:tcPr>
            <w:tcW w:w="1134" w:type="dxa"/>
            <w:vMerge/>
            <w:tcBorders>
              <w:right w:val="single" w:sz="12" w:space="0" w:color="auto"/>
            </w:tcBorders>
            <w:vAlign w:val="center"/>
          </w:tcPr>
          <w:p w14:paraId="10F5840D" w14:textId="77777777" w:rsidR="001B4719" w:rsidRPr="00454F3F" w:rsidRDefault="001B4719" w:rsidP="000050AA">
            <w:pPr>
              <w:jc w:val="both"/>
            </w:pPr>
          </w:p>
        </w:tc>
        <w:tc>
          <w:tcPr>
            <w:tcW w:w="2665" w:type="dxa"/>
            <w:tcBorders>
              <w:right w:val="single" w:sz="12" w:space="0" w:color="auto"/>
            </w:tcBorders>
            <w:vAlign w:val="center"/>
          </w:tcPr>
          <w:p w14:paraId="35D79A59"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2B4927F1" w14:textId="77777777" w:rsidR="001B4719" w:rsidRPr="00A92AD5" w:rsidRDefault="001B4719" w:rsidP="00872FC3">
            <w:pPr>
              <w:spacing w:before="100" w:beforeAutospacing="1" w:after="100" w:afterAutospacing="1"/>
              <w:jc w:val="right"/>
            </w:pPr>
            <w:r w:rsidRPr="00A92AD5">
              <w:t>300</w:t>
            </w:r>
          </w:p>
        </w:tc>
        <w:tc>
          <w:tcPr>
            <w:tcW w:w="1077" w:type="dxa"/>
            <w:tcBorders>
              <w:left w:val="single" w:sz="12" w:space="0" w:color="auto"/>
              <w:right w:val="single" w:sz="12" w:space="0" w:color="auto"/>
            </w:tcBorders>
            <w:vAlign w:val="center"/>
          </w:tcPr>
          <w:p w14:paraId="308E19B3" w14:textId="77777777" w:rsidR="001B4719" w:rsidRPr="00A92AD5" w:rsidRDefault="001B4719" w:rsidP="00872FC3">
            <w:pPr>
              <w:spacing w:before="100" w:beforeAutospacing="1" w:after="100" w:afterAutospacing="1"/>
              <w:jc w:val="right"/>
            </w:pPr>
            <w:r w:rsidRPr="00A92AD5">
              <w:t>650</w:t>
            </w:r>
          </w:p>
        </w:tc>
        <w:tc>
          <w:tcPr>
            <w:tcW w:w="1077" w:type="dxa"/>
            <w:tcBorders>
              <w:left w:val="single" w:sz="12" w:space="0" w:color="auto"/>
              <w:right w:val="single" w:sz="12" w:space="0" w:color="auto"/>
            </w:tcBorders>
            <w:vAlign w:val="center"/>
          </w:tcPr>
          <w:p w14:paraId="567CB700" w14:textId="77777777" w:rsidR="001B4719" w:rsidRPr="00A92AD5" w:rsidRDefault="001B4719" w:rsidP="00872FC3">
            <w:pPr>
              <w:spacing w:before="100" w:beforeAutospacing="1" w:after="100" w:afterAutospacing="1"/>
              <w:jc w:val="right"/>
            </w:pPr>
            <w:r w:rsidRPr="00A92AD5">
              <w:t>1 000</w:t>
            </w:r>
          </w:p>
        </w:tc>
        <w:tc>
          <w:tcPr>
            <w:tcW w:w="1077" w:type="dxa"/>
            <w:tcBorders>
              <w:left w:val="single" w:sz="12" w:space="0" w:color="auto"/>
              <w:right w:val="single" w:sz="12" w:space="0" w:color="auto"/>
            </w:tcBorders>
            <w:vAlign w:val="center"/>
          </w:tcPr>
          <w:p w14:paraId="09856614" w14:textId="77777777" w:rsidR="001B4719" w:rsidRPr="00A92AD5" w:rsidRDefault="001B4719" w:rsidP="00872FC3">
            <w:pPr>
              <w:spacing w:before="100" w:beforeAutospacing="1" w:after="100" w:afterAutospacing="1"/>
              <w:jc w:val="right"/>
            </w:pPr>
            <w:r w:rsidRPr="00A92AD5">
              <w:t>1 150</w:t>
            </w:r>
          </w:p>
        </w:tc>
        <w:tc>
          <w:tcPr>
            <w:tcW w:w="1077" w:type="dxa"/>
            <w:tcBorders>
              <w:left w:val="single" w:sz="12" w:space="0" w:color="auto"/>
              <w:right w:val="single" w:sz="12" w:space="0" w:color="auto"/>
            </w:tcBorders>
            <w:vAlign w:val="center"/>
          </w:tcPr>
          <w:p w14:paraId="5DA9B008" w14:textId="77777777" w:rsidR="001B4719" w:rsidRPr="00A92AD5" w:rsidRDefault="001B4719" w:rsidP="00872FC3">
            <w:pPr>
              <w:spacing w:before="100" w:beforeAutospacing="1" w:after="100" w:afterAutospacing="1"/>
              <w:jc w:val="right"/>
            </w:pPr>
            <w:r w:rsidRPr="00A92AD5">
              <w:t>700</w:t>
            </w:r>
          </w:p>
        </w:tc>
      </w:tr>
      <w:tr w:rsidR="001B4719" w14:paraId="7931F736" w14:textId="77777777" w:rsidTr="000050AA">
        <w:trPr>
          <w:trHeight w:val="510"/>
        </w:trPr>
        <w:tc>
          <w:tcPr>
            <w:tcW w:w="1134" w:type="dxa"/>
            <w:vMerge/>
            <w:tcBorders>
              <w:right w:val="single" w:sz="12" w:space="0" w:color="auto"/>
            </w:tcBorders>
            <w:vAlign w:val="center"/>
          </w:tcPr>
          <w:p w14:paraId="27D4EA70" w14:textId="77777777" w:rsidR="001B4719" w:rsidRPr="00454F3F" w:rsidRDefault="001B4719" w:rsidP="000050AA">
            <w:pPr>
              <w:jc w:val="both"/>
            </w:pPr>
          </w:p>
        </w:tc>
        <w:tc>
          <w:tcPr>
            <w:tcW w:w="2665" w:type="dxa"/>
            <w:tcBorders>
              <w:right w:val="single" w:sz="12" w:space="0" w:color="auto"/>
            </w:tcBorders>
            <w:vAlign w:val="center"/>
          </w:tcPr>
          <w:p w14:paraId="2E329218"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651B8087" w14:textId="77777777" w:rsidR="001B4719" w:rsidRPr="00A92AD5" w:rsidRDefault="001B4719" w:rsidP="00872FC3">
            <w:pPr>
              <w:spacing w:before="100" w:beforeAutospacing="1" w:after="100" w:afterAutospacing="1"/>
              <w:jc w:val="right"/>
            </w:pPr>
            <w:r w:rsidRPr="00A92AD5">
              <w:t>60</w:t>
            </w:r>
          </w:p>
        </w:tc>
        <w:tc>
          <w:tcPr>
            <w:tcW w:w="1077" w:type="dxa"/>
            <w:tcBorders>
              <w:left w:val="single" w:sz="12" w:space="0" w:color="auto"/>
              <w:right w:val="single" w:sz="12" w:space="0" w:color="auto"/>
            </w:tcBorders>
            <w:vAlign w:val="center"/>
          </w:tcPr>
          <w:p w14:paraId="6B1EA4C4" w14:textId="77777777" w:rsidR="001B4719" w:rsidRPr="00A92AD5" w:rsidRDefault="001B4719" w:rsidP="00872FC3">
            <w:pPr>
              <w:spacing w:before="100" w:beforeAutospacing="1" w:after="100" w:afterAutospacing="1"/>
              <w:jc w:val="right"/>
            </w:pPr>
            <w:r w:rsidRPr="00A92AD5">
              <w:t>1 700</w:t>
            </w:r>
          </w:p>
        </w:tc>
        <w:tc>
          <w:tcPr>
            <w:tcW w:w="1077" w:type="dxa"/>
            <w:tcBorders>
              <w:left w:val="single" w:sz="12" w:space="0" w:color="auto"/>
              <w:right w:val="single" w:sz="12" w:space="0" w:color="auto"/>
            </w:tcBorders>
            <w:vAlign w:val="center"/>
          </w:tcPr>
          <w:p w14:paraId="11A3D85C" w14:textId="77777777" w:rsidR="001B4719" w:rsidRPr="00A92AD5" w:rsidRDefault="001B4719" w:rsidP="00872FC3">
            <w:pPr>
              <w:spacing w:before="100" w:beforeAutospacing="1" w:after="100" w:afterAutospacing="1"/>
              <w:jc w:val="right"/>
            </w:pPr>
            <w:r w:rsidRPr="00A92AD5">
              <w:t>3 500</w:t>
            </w:r>
          </w:p>
        </w:tc>
        <w:tc>
          <w:tcPr>
            <w:tcW w:w="1077" w:type="dxa"/>
            <w:tcBorders>
              <w:left w:val="single" w:sz="12" w:space="0" w:color="auto"/>
              <w:right w:val="single" w:sz="12" w:space="0" w:color="auto"/>
            </w:tcBorders>
            <w:vAlign w:val="center"/>
          </w:tcPr>
          <w:p w14:paraId="55AFFD4A" w14:textId="77777777" w:rsidR="001B4719" w:rsidRPr="00A92AD5" w:rsidRDefault="001B4719" w:rsidP="00872FC3">
            <w:pPr>
              <w:spacing w:before="100" w:beforeAutospacing="1" w:after="100" w:afterAutospacing="1"/>
              <w:jc w:val="right"/>
            </w:pPr>
            <w:r w:rsidRPr="00A92AD5">
              <w:t>3 500</w:t>
            </w:r>
          </w:p>
        </w:tc>
        <w:tc>
          <w:tcPr>
            <w:tcW w:w="1077" w:type="dxa"/>
            <w:tcBorders>
              <w:left w:val="single" w:sz="12" w:space="0" w:color="auto"/>
              <w:right w:val="single" w:sz="12" w:space="0" w:color="auto"/>
            </w:tcBorders>
            <w:vAlign w:val="center"/>
          </w:tcPr>
          <w:p w14:paraId="5B94DEBE" w14:textId="77777777" w:rsidR="001B4719" w:rsidRDefault="001B4719" w:rsidP="00872FC3">
            <w:pPr>
              <w:spacing w:before="100" w:beforeAutospacing="1" w:after="100" w:afterAutospacing="1"/>
              <w:jc w:val="right"/>
            </w:pPr>
            <w:r w:rsidRPr="00A92AD5">
              <w:t>2 000</w:t>
            </w:r>
          </w:p>
        </w:tc>
      </w:tr>
    </w:tbl>
    <w:p w14:paraId="0CE5CACE" w14:textId="77777777" w:rsidR="001B4719" w:rsidRPr="0050685D" w:rsidRDefault="001B4719" w:rsidP="001B4719">
      <w:pPr>
        <w:jc w:val="both"/>
      </w:pPr>
      <w:r w:rsidRPr="0050685D">
        <w:t>Zdroj: ČPS</w:t>
      </w:r>
    </w:p>
    <w:p w14:paraId="66A201CC" w14:textId="77777777" w:rsidR="001B4719" w:rsidRPr="0050685D" w:rsidRDefault="001B4719" w:rsidP="001B4719">
      <w:pPr>
        <w:pStyle w:val="Nadpis3"/>
        <w:numPr>
          <w:ilvl w:val="2"/>
          <w:numId w:val="9"/>
        </w:numPr>
        <w:tabs>
          <w:tab w:val="left" w:pos="851"/>
          <w:tab w:val="num" w:pos="2411"/>
        </w:tabs>
        <w:ind w:left="284" w:firstLine="0"/>
        <w:jc w:val="both"/>
      </w:pPr>
      <w:bookmarkStart w:id="395" w:name="_Toc18497426"/>
      <w:bookmarkStart w:id="396" w:name="_Toc18497429"/>
      <w:bookmarkStart w:id="397" w:name="_Toc18497432"/>
      <w:bookmarkStart w:id="398" w:name="_Toc13685889"/>
      <w:bookmarkStart w:id="399" w:name="_Toc13753786"/>
      <w:bookmarkStart w:id="400" w:name="_Toc19792340"/>
      <w:bookmarkStart w:id="401" w:name="_Toc25084484"/>
      <w:bookmarkStart w:id="402" w:name="_Toc25136811"/>
      <w:bookmarkStart w:id="403" w:name="_Toc34295936"/>
      <w:bookmarkEnd w:id="395"/>
      <w:bookmarkEnd w:id="396"/>
      <w:bookmarkEnd w:id="397"/>
      <w:r w:rsidRPr="0050685D">
        <w:t>Predikce spotřeby zemního plynu</w:t>
      </w:r>
      <w:bookmarkEnd w:id="398"/>
      <w:bookmarkEnd w:id="399"/>
      <w:bookmarkEnd w:id="400"/>
      <w:bookmarkEnd w:id="401"/>
      <w:bookmarkEnd w:id="402"/>
      <w:bookmarkEnd w:id="403"/>
    </w:p>
    <w:p w14:paraId="702BDB74" w14:textId="77777777" w:rsidR="00C95FCA" w:rsidRPr="00C95FCA" w:rsidRDefault="001B4719" w:rsidP="00C95FCA">
      <w:pPr>
        <w:jc w:val="both"/>
      </w:pPr>
      <w:r w:rsidRPr="0050685D">
        <w:rPr>
          <w:b/>
          <w:bCs/>
        </w:rPr>
        <w:t>Predikce celkové spotřeby zemního plynu (CNG a</w:t>
      </w:r>
      <w:r w:rsidR="00546698">
        <w:rPr>
          <w:b/>
          <w:bCs/>
        </w:rPr>
        <w:t> </w:t>
      </w:r>
      <w:r w:rsidRPr="0050685D">
        <w:rPr>
          <w:b/>
          <w:bCs/>
        </w:rPr>
        <w:t>LNG) ve třech variantách</w:t>
      </w:r>
      <w:r w:rsidRPr="0050685D">
        <w:t xml:space="preserve"> (</w:t>
      </w:r>
      <w:r w:rsidRPr="0050685D">
        <w:rPr>
          <w:bCs/>
        </w:rPr>
        <w:t>V – PA, V</w:t>
      </w:r>
      <w:r w:rsidR="00546698">
        <w:rPr>
          <w:bCs/>
        </w:rPr>
        <w:t> </w:t>
      </w:r>
      <w:r>
        <w:rPr>
          <w:bCs/>
        </w:rPr>
        <w:t>- </w:t>
      </w:r>
      <w:r w:rsidRPr="0050685D">
        <w:rPr>
          <w:bCs/>
        </w:rPr>
        <w:t>BAU, V</w:t>
      </w:r>
      <w:r w:rsidR="00546698">
        <w:rPr>
          <w:bCs/>
        </w:rPr>
        <w:t> </w:t>
      </w:r>
      <w:r w:rsidRPr="0050685D">
        <w:rPr>
          <w:bCs/>
        </w:rPr>
        <w:t>– BP)</w:t>
      </w:r>
      <w:r w:rsidRPr="0050685D">
        <w:t xml:space="preserve"> </w:t>
      </w:r>
      <w:r w:rsidRPr="0050685D">
        <w:rPr>
          <w:b/>
          <w:bCs/>
        </w:rPr>
        <w:t>odpovídá výše uvedeným předpokladům vývoje vozového parku v</w:t>
      </w:r>
      <w:r w:rsidR="00546698">
        <w:rPr>
          <w:b/>
          <w:bCs/>
        </w:rPr>
        <w:t> </w:t>
      </w:r>
      <w:r w:rsidRPr="0050685D">
        <w:rPr>
          <w:b/>
          <w:bCs/>
        </w:rPr>
        <w:t>ČR</w:t>
      </w:r>
      <w:r w:rsidRPr="0050685D">
        <w:t>. Po</w:t>
      </w:r>
      <w:r>
        <w:t> </w:t>
      </w:r>
      <w:r w:rsidRPr="0050685D">
        <w:t xml:space="preserve">zkušenostech ze zahraničí lze také předpokládat, že následující dekádu (2021 až 2030) bude charakterizovat významný rozvoj užití </w:t>
      </w:r>
      <w:r>
        <w:t>biometan</w:t>
      </w:r>
      <w:r w:rsidRPr="0050685D">
        <w:t>u v</w:t>
      </w:r>
      <w:r w:rsidR="00546698">
        <w:t> </w:t>
      </w:r>
      <w:r w:rsidRPr="0050685D">
        <w:t xml:space="preserve">nákladní dopravě (bioLNG). Proto velké objemy spotřeby, především pokročilého </w:t>
      </w:r>
      <w:r>
        <w:t>biometan</w:t>
      </w:r>
      <w:r w:rsidRPr="0050685D">
        <w:t>u, budou v</w:t>
      </w:r>
      <w:r w:rsidR="00546698">
        <w:t> </w:t>
      </w:r>
      <w:r w:rsidRPr="0050685D">
        <w:t xml:space="preserve">nákladní </w:t>
      </w:r>
      <w:r>
        <w:t>a</w:t>
      </w:r>
      <w:r w:rsidR="00546698">
        <w:t> </w:t>
      </w:r>
      <w:r>
        <w:t xml:space="preserve">autobusové </w:t>
      </w:r>
      <w:r w:rsidRPr="0050685D">
        <w:t xml:space="preserve">dopravě. </w:t>
      </w:r>
    </w:p>
    <w:p w14:paraId="5D8EE401" w14:textId="77777777" w:rsidR="00C95FCA" w:rsidRDefault="00C95FCA" w:rsidP="00C95FCA">
      <w:pPr>
        <w:pStyle w:val="Titulek"/>
        <w:keepNext/>
        <w:jc w:val="both"/>
      </w:pPr>
      <w:bookmarkStart w:id="404" w:name="_Toc25230421"/>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14</w:t>
      </w:r>
      <w:r w:rsidR="001614BC">
        <w:rPr>
          <w:noProof/>
        </w:rPr>
        <w:fldChar w:fldCharType="end"/>
      </w:r>
      <w:r w:rsidRPr="00C95FCA">
        <w:t xml:space="preserve"> </w:t>
      </w:r>
      <w:r>
        <w:t>Graf p</w:t>
      </w:r>
      <w:r w:rsidRPr="00784BDA">
        <w:t xml:space="preserve">redikce spotřeby zemního plynu </w:t>
      </w:r>
      <w:r>
        <w:t>(m</w:t>
      </w:r>
      <w:r w:rsidRPr="00FD7A23">
        <w:rPr>
          <w:vertAlign w:val="superscript"/>
        </w:rPr>
        <w:t>3</w:t>
      </w:r>
      <w:r>
        <w:t xml:space="preserve">) </w:t>
      </w:r>
      <w:r w:rsidRPr="00784BDA">
        <w:t>v</w:t>
      </w:r>
      <w:r w:rsidR="00546698">
        <w:t> </w:t>
      </w:r>
      <w:r w:rsidRPr="00784BDA">
        <w:t>dopravě v</w:t>
      </w:r>
      <w:r w:rsidR="00546698">
        <w:t> </w:t>
      </w:r>
      <w:r w:rsidRPr="00784BDA">
        <w:t>ČR</w:t>
      </w:r>
      <w:bookmarkEnd w:id="404"/>
    </w:p>
    <w:p w14:paraId="4DCDE5BC"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466170EB" wp14:editId="2335CB7A">
            <wp:extent cx="5760720" cy="2736000"/>
            <wp:effectExtent l="0" t="0" r="11430" b="26670"/>
            <wp:docPr id="67"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EF3424C" w14:textId="77777777" w:rsidR="00C95FCA" w:rsidRPr="00C95FCA" w:rsidRDefault="001B4719" w:rsidP="00C95FCA">
      <w:pPr>
        <w:pStyle w:val="Titulek"/>
        <w:jc w:val="both"/>
        <w:rPr>
          <w:b w:val="0"/>
          <w:sz w:val="18"/>
          <w:szCs w:val="18"/>
        </w:rPr>
      </w:pPr>
      <w:bookmarkStart w:id="405" w:name="_Toc19792403"/>
      <w:bookmarkStart w:id="406" w:name="_Toc23862652"/>
      <w:r w:rsidRPr="007317BA">
        <w:rPr>
          <w:b w:val="0"/>
          <w:sz w:val="18"/>
          <w:szCs w:val="18"/>
        </w:rPr>
        <w:t>Zdroj: ČPS</w:t>
      </w:r>
      <w:bookmarkEnd w:id="405"/>
      <w:bookmarkEnd w:id="406"/>
    </w:p>
    <w:p w14:paraId="0543581F" w14:textId="77777777" w:rsidR="00C95FCA" w:rsidRDefault="00C95FCA" w:rsidP="00C95FCA">
      <w:pPr>
        <w:pStyle w:val="Titulek"/>
        <w:keepNext/>
      </w:pPr>
      <w:bookmarkStart w:id="407" w:name="_Toc34295870"/>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11</w:t>
      </w:r>
      <w:r w:rsidR="001614BC">
        <w:rPr>
          <w:noProof/>
        </w:rPr>
        <w:fldChar w:fldCharType="end"/>
      </w:r>
      <w:r w:rsidRPr="00C95FCA">
        <w:t xml:space="preserve"> </w:t>
      </w:r>
      <w:r w:rsidRPr="00784BDA">
        <w:t>Predikce spotřeby zemního plynu v</w:t>
      </w:r>
      <w:r w:rsidR="00546698">
        <w:t> </w:t>
      </w:r>
      <w:r w:rsidRPr="00784BDA">
        <w:t>dopravě v</w:t>
      </w:r>
      <w:r w:rsidR="00546698">
        <w:t> </w:t>
      </w:r>
      <w:r w:rsidRPr="00784BDA">
        <w:t>ČR (mil. m</w:t>
      </w:r>
      <w:r w:rsidRPr="00784BDA">
        <w:rPr>
          <w:vertAlign w:val="superscript"/>
        </w:rPr>
        <w:t>3</w:t>
      </w:r>
      <w:r w:rsidRPr="00784BDA">
        <w:t>)</w:t>
      </w:r>
      <w:bookmarkEnd w:id="407"/>
    </w:p>
    <w:tbl>
      <w:tblPr>
        <w:tblW w:w="91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34"/>
        <w:gridCol w:w="2665"/>
        <w:gridCol w:w="1077"/>
        <w:gridCol w:w="1077"/>
        <w:gridCol w:w="1077"/>
        <w:gridCol w:w="1077"/>
        <w:gridCol w:w="1077"/>
      </w:tblGrid>
      <w:tr w:rsidR="001B4719" w14:paraId="715BB886" w14:textId="77777777" w:rsidTr="000050AA">
        <w:trPr>
          <w:tblHeader/>
        </w:trPr>
        <w:tc>
          <w:tcPr>
            <w:tcW w:w="1134" w:type="dxa"/>
            <w:tcBorders>
              <w:top w:val="single" w:sz="12" w:space="0" w:color="auto"/>
              <w:bottom w:val="single" w:sz="12" w:space="0" w:color="auto"/>
              <w:right w:val="single" w:sz="12" w:space="0" w:color="auto"/>
            </w:tcBorders>
            <w:shd w:val="clear" w:color="auto" w:fill="2196FF" w:themeFill="text2" w:themeFillTint="99"/>
          </w:tcPr>
          <w:p w14:paraId="03985024" w14:textId="77777777" w:rsidR="001B4719" w:rsidRPr="00685433" w:rsidRDefault="001B4719" w:rsidP="000050AA">
            <w:pPr>
              <w:pStyle w:val="Zhlavtabulky"/>
              <w:jc w:val="both"/>
              <w:rPr>
                <w:color w:val="FFFFFF" w:themeColor="background1"/>
              </w:rPr>
            </w:pPr>
          </w:p>
        </w:tc>
        <w:tc>
          <w:tcPr>
            <w:tcW w:w="2665" w:type="dxa"/>
            <w:tcBorders>
              <w:top w:val="single" w:sz="12" w:space="0" w:color="auto"/>
              <w:bottom w:val="single" w:sz="12" w:space="0" w:color="auto"/>
              <w:right w:val="single" w:sz="12" w:space="0" w:color="auto"/>
            </w:tcBorders>
            <w:shd w:val="clear" w:color="auto" w:fill="2196FF" w:themeFill="text2" w:themeFillTint="99"/>
          </w:tcPr>
          <w:p w14:paraId="0547355F" w14:textId="77777777" w:rsidR="001B4719" w:rsidRPr="0017298D" w:rsidRDefault="001B4719" w:rsidP="000050AA">
            <w:pPr>
              <w:jc w:val="both"/>
              <w:rPr>
                <w:b/>
                <w:color w:val="FFFFFF" w:themeColor="background1"/>
              </w:rPr>
            </w:pP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17D72B25" w14:textId="77777777" w:rsidR="001B4719" w:rsidRPr="00685433" w:rsidRDefault="001B4719" w:rsidP="000050AA">
            <w:pPr>
              <w:jc w:val="both"/>
              <w:rPr>
                <w:b/>
                <w:color w:val="FFFFFF" w:themeColor="background1"/>
              </w:rPr>
            </w:pPr>
            <w:r>
              <w:rPr>
                <w:b/>
                <w:color w:val="FFFFFF" w:themeColor="background1"/>
              </w:rPr>
              <w:t>2020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349EF5AC" w14:textId="77777777" w:rsidR="001B4719" w:rsidRPr="0017298D" w:rsidRDefault="001B4719" w:rsidP="000050AA">
            <w:pPr>
              <w:jc w:val="both"/>
              <w:rPr>
                <w:b/>
                <w:color w:val="FFFFFF" w:themeColor="background1"/>
              </w:rPr>
            </w:pPr>
            <w:r>
              <w:rPr>
                <w:b/>
                <w:color w:val="FFFFFF" w:themeColor="background1"/>
              </w:rPr>
              <w:t>2025</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5143890C" w14:textId="77777777" w:rsidR="001B4719" w:rsidRPr="0017298D" w:rsidRDefault="001B4719" w:rsidP="000050AA">
            <w:pPr>
              <w:jc w:val="both"/>
              <w:rPr>
                <w:b/>
                <w:color w:val="FFFFFF" w:themeColor="background1"/>
              </w:rPr>
            </w:pPr>
            <w:r>
              <w:rPr>
                <w:b/>
                <w:color w:val="FFFFFF" w:themeColor="background1"/>
              </w:rPr>
              <w:t>2030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26ED68BA" w14:textId="77777777" w:rsidR="001B4719" w:rsidRPr="0017298D" w:rsidRDefault="001B4719" w:rsidP="000050AA">
            <w:pPr>
              <w:jc w:val="both"/>
              <w:rPr>
                <w:b/>
                <w:color w:val="FFFFFF" w:themeColor="background1"/>
              </w:rPr>
            </w:pPr>
            <w:r>
              <w:rPr>
                <w:b/>
                <w:color w:val="FFFFFF" w:themeColor="background1"/>
              </w:rPr>
              <w:t>2040</w:t>
            </w:r>
          </w:p>
        </w:tc>
        <w:tc>
          <w:tcPr>
            <w:tcW w:w="1077"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7CD77977" w14:textId="77777777" w:rsidR="001B4719" w:rsidRDefault="001B4719" w:rsidP="000050AA">
            <w:pPr>
              <w:jc w:val="both"/>
              <w:rPr>
                <w:b/>
                <w:color w:val="FFFFFF" w:themeColor="background1"/>
              </w:rPr>
            </w:pPr>
            <w:r>
              <w:rPr>
                <w:b/>
                <w:color w:val="FFFFFF" w:themeColor="background1"/>
              </w:rPr>
              <w:t>2050</w:t>
            </w:r>
          </w:p>
        </w:tc>
      </w:tr>
      <w:tr w:rsidR="001B4719" w14:paraId="3983F2B5" w14:textId="77777777" w:rsidTr="000050AA">
        <w:trPr>
          <w:trHeight w:val="510"/>
        </w:trPr>
        <w:tc>
          <w:tcPr>
            <w:tcW w:w="1134" w:type="dxa"/>
            <w:vMerge w:val="restart"/>
            <w:tcBorders>
              <w:top w:val="single" w:sz="12" w:space="0" w:color="auto"/>
              <w:right w:val="single" w:sz="12" w:space="0" w:color="auto"/>
            </w:tcBorders>
            <w:vAlign w:val="center"/>
          </w:tcPr>
          <w:p w14:paraId="66C2D4E7" w14:textId="77777777" w:rsidR="001B4719" w:rsidRPr="00454F3F" w:rsidRDefault="001B4719" w:rsidP="000050AA">
            <w:pPr>
              <w:jc w:val="both"/>
            </w:pPr>
            <w:r>
              <w:t>V - PA</w:t>
            </w:r>
          </w:p>
        </w:tc>
        <w:tc>
          <w:tcPr>
            <w:tcW w:w="2665" w:type="dxa"/>
            <w:tcBorders>
              <w:top w:val="single" w:sz="12" w:space="0" w:color="auto"/>
              <w:right w:val="single" w:sz="12" w:space="0" w:color="auto"/>
            </w:tcBorders>
            <w:vAlign w:val="center"/>
          </w:tcPr>
          <w:p w14:paraId="5B6E953B"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top w:val="single" w:sz="12" w:space="0" w:color="auto"/>
              <w:left w:val="single" w:sz="12" w:space="0" w:color="auto"/>
              <w:right w:val="single" w:sz="12" w:space="0" w:color="auto"/>
            </w:tcBorders>
            <w:vAlign w:val="center"/>
          </w:tcPr>
          <w:p w14:paraId="3C5FE72E" w14:textId="77777777" w:rsidR="001B4719" w:rsidRPr="00784BDA" w:rsidRDefault="001B4719" w:rsidP="000050AA">
            <w:pPr>
              <w:jc w:val="both"/>
              <w:rPr>
                <w:b/>
              </w:rPr>
            </w:pPr>
            <w:r w:rsidRPr="00784BDA">
              <w:rPr>
                <w:b/>
              </w:rPr>
              <w:t>84,4</w:t>
            </w:r>
          </w:p>
        </w:tc>
        <w:tc>
          <w:tcPr>
            <w:tcW w:w="1077" w:type="dxa"/>
            <w:tcBorders>
              <w:top w:val="single" w:sz="12" w:space="0" w:color="auto"/>
              <w:left w:val="single" w:sz="12" w:space="0" w:color="auto"/>
              <w:right w:val="single" w:sz="12" w:space="0" w:color="auto"/>
            </w:tcBorders>
            <w:vAlign w:val="center"/>
          </w:tcPr>
          <w:p w14:paraId="46349505" w14:textId="77777777" w:rsidR="001B4719" w:rsidRPr="00784BDA" w:rsidRDefault="001B4719" w:rsidP="000050AA">
            <w:pPr>
              <w:jc w:val="both"/>
              <w:rPr>
                <w:b/>
              </w:rPr>
            </w:pPr>
            <w:r w:rsidRPr="00784BDA">
              <w:rPr>
                <w:b/>
              </w:rPr>
              <w:t>205,5</w:t>
            </w:r>
          </w:p>
        </w:tc>
        <w:tc>
          <w:tcPr>
            <w:tcW w:w="1077" w:type="dxa"/>
            <w:tcBorders>
              <w:top w:val="single" w:sz="12" w:space="0" w:color="auto"/>
              <w:left w:val="single" w:sz="12" w:space="0" w:color="auto"/>
              <w:right w:val="single" w:sz="12" w:space="0" w:color="auto"/>
            </w:tcBorders>
            <w:vAlign w:val="center"/>
          </w:tcPr>
          <w:p w14:paraId="6A45BB54" w14:textId="77777777" w:rsidR="001B4719" w:rsidRPr="00784BDA" w:rsidRDefault="001B4719" w:rsidP="000050AA">
            <w:pPr>
              <w:jc w:val="both"/>
              <w:rPr>
                <w:b/>
              </w:rPr>
            </w:pPr>
            <w:r w:rsidRPr="00784BDA">
              <w:rPr>
                <w:b/>
              </w:rPr>
              <w:t>411,9</w:t>
            </w:r>
          </w:p>
        </w:tc>
        <w:tc>
          <w:tcPr>
            <w:tcW w:w="1077" w:type="dxa"/>
            <w:tcBorders>
              <w:top w:val="single" w:sz="12" w:space="0" w:color="auto"/>
              <w:left w:val="single" w:sz="12" w:space="0" w:color="auto"/>
              <w:right w:val="single" w:sz="12" w:space="0" w:color="auto"/>
            </w:tcBorders>
            <w:vAlign w:val="center"/>
          </w:tcPr>
          <w:p w14:paraId="10306F8B" w14:textId="77777777" w:rsidR="001B4719" w:rsidRPr="00784BDA" w:rsidRDefault="001B4719" w:rsidP="000050AA">
            <w:pPr>
              <w:jc w:val="both"/>
              <w:rPr>
                <w:b/>
              </w:rPr>
            </w:pPr>
            <w:r w:rsidRPr="00784BDA">
              <w:rPr>
                <w:b/>
              </w:rPr>
              <w:t>608,0</w:t>
            </w:r>
          </w:p>
        </w:tc>
        <w:tc>
          <w:tcPr>
            <w:tcW w:w="1077" w:type="dxa"/>
            <w:tcBorders>
              <w:top w:val="single" w:sz="12" w:space="0" w:color="auto"/>
              <w:left w:val="single" w:sz="12" w:space="0" w:color="auto"/>
              <w:right w:val="single" w:sz="12" w:space="0" w:color="auto"/>
            </w:tcBorders>
            <w:vAlign w:val="center"/>
          </w:tcPr>
          <w:p w14:paraId="2D33DBCC" w14:textId="77777777" w:rsidR="001B4719" w:rsidRPr="00784BDA" w:rsidRDefault="001B4719" w:rsidP="000050AA">
            <w:pPr>
              <w:jc w:val="both"/>
              <w:rPr>
                <w:b/>
              </w:rPr>
            </w:pPr>
            <w:r w:rsidRPr="00784BDA">
              <w:rPr>
                <w:b/>
              </w:rPr>
              <w:t>603,0</w:t>
            </w:r>
          </w:p>
        </w:tc>
      </w:tr>
      <w:tr w:rsidR="001B4719" w14:paraId="2958E17D" w14:textId="77777777" w:rsidTr="000050AA">
        <w:trPr>
          <w:trHeight w:val="510"/>
        </w:trPr>
        <w:tc>
          <w:tcPr>
            <w:tcW w:w="1134" w:type="dxa"/>
            <w:vMerge/>
            <w:tcBorders>
              <w:right w:val="single" w:sz="12" w:space="0" w:color="auto"/>
            </w:tcBorders>
            <w:vAlign w:val="center"/>
          </w:tcPr>
          <w:p w14:paraId="1602DC2E" w14:textId="77777777" w:rsidR="001B4719" w:rsidRPr="00454F3F" w:rsidRDefault="001B4719" w:rsidP="000050AA">
            <w:pPr>
              <w:jc w:val="both"/>
            </w:pPr>
          </w:p>
        </w:tc>
        <w:tc>
          <w:tcPr>
            <w:tcW w:w="2665" w:type="dxa"/>
            <w:tcBorders>
              <w:right w:val="single" w:sz="12" w:space="0" w:color="auto"/>
            </w:tcBorders>
            <w:vAlign w:val="center"/>
          </w:tcPr>
          <w:p w14:paraId="06C57CB3"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614D840A" w14:textId="77777777" w:rsidR="001B4719" w:rsidRPr="00F415BB" w:rsidRDefault="001B4719" w:rsidP="000050AA">
            <w:pPr>
              <w:jc w:val="both"/>
            </w:pPr>
            <w:r w:rsidRPr="00F415BB">
              <w:t>36,0</w:t>
            </w:r>
          </w:p>
        </w:tc>
        <w:tc>
          <w:tcPr>
            <w:tcW w:w="1077" w:type="dxa"/>
            <w:tcBorders>
              <w:left w:val="single" w:sz="12" w:space="0" w:color="auto"/>
              <w:right w:val="single" w:sz="12" w:space="0" w:color="auto"/>
            </w:tcBorders>
            <w:vAlign w:val="center"/>
          </w:tcPr>
          <w:p w14:paraId="75CF697E" w14:textId="77777777" w:rsidR="001B4719" w:rsidRPr="00F415BB" w:rsidRDefault="001B4719" w:rsidP="000050AA">
            <w:pPr>
              <w:jc w:val="both"/>
            </w:pPr>
            <w:r w:rsidRPr="00F415BB">
              <w:t>52,5</w:t>
            </w:r>
          </w:p>
        </w:tc>
        <w:tc>
          <w:tcPr>
            <w:tcW w:w="1077" w:type="dxa"/>
            <w:tcBorders>
              <w:left w:val="single" w:sz="12" w:space="0" w:color="auto"/>
              <w:right w:val="single" w:sz="12" w:space="0" w:color="auto"/>
            </w:tcBorders>
            <w:vAlign w:val="center"/>
          </w:tcPr>
          <w:p w14:paraId="310EFC43" w14:textId="77777777" w:rsidR="001B4719" w:rsidRPr="00F415BB" w:rsidRDefault="001B4719" w:rsidP="000050AA">
            <w:pPr>
              <w:jc w:val="both"/>
            </w:pPr>
            <w:r w:rsidRPr="00F415BB">
              <w:t>66,9</w:t>
            </w:r>
          </w:p>
        </w:tc>
        <w:tc>
          <w:tcPr>
            <w:tcW w:w="1077" w:type="dxa"/>
            <w:tcBorders>
              <w:left w:val="single" w:sz="12" w:space="0" w:color="auto"/>
              <w:right w:val="single" w:sz="12" w:space="0" w:color="auto"/>
            </w:tcBorders>
            <w:vAlign w:val="center"/>
          </w:tcPr>
          <w:p w14:paraId="26F068FD" w14:textId="77777777" w:rsidR="001B4719" w:rsidRPr="00F415BB" w:rsidRDefault="001B4719" w:rsidP="000050AA">
            <w:pPr>
              <w:jc w:val="both"/>
            </w:pPr>
            <w:r w:rsidRPr="00F415BB">
              <w:t>71,0</w:t>
            </w:r>
          </w:p>
        </w:tc>
        <w:tc>
          <w:tcPr>
            <w:tcW w:w="1077" w:type="dxa"/>
            <w:tcBorders>
              <w:left w:val="single" w:sz="12" w:space="0" w:color="auto"/>
              <w:right w:val="single" w:sz="12" w:space="0" w:color="auto"/>
            </w:tcBorders>
            <w:vAlign w:val="center"/>
          </w:tcPr>
          <w:p w14:paraId="6FF872CC" w14:textId="77777777" w:rsidR="001B4719" w:rsidRPr="00F415BB" w:rsidRDefault="001B4719" w:rsidP="000050AA">
            <w:pPr>
              <w:jc w:val="both"/>
            </w:pPr>
            <w:r w:rsidRPr="00F415BB">
              <w:t>74,0</w:t>
            </w:r>
          </w:p>
        </w:tc>
      </w:tr>
      <w:tr w:rsidR="001B4719" w14:paraId="24DB440A" w14:textId="77777777" w:rsidTr="000050AA">
        <w:trPr>
          <w:trHeight w:val="510"/>
        </w:trPr>
        <w:tc>
          <w:tcPr>
            <w:tcW w:w="1134" w:type="dxa"/>
            <w:vMerge/>
            <w:tcBorders>
              <w:right w:val="single" w:sz="12" w:space="0" w:color="auto"/>
            </w:tcBorders>
            <w:vAlign w:val="center"/>
          </w:tcPr>
          <w:p w14:paraId="51CF491B" w14:textId="77777777" w:rsidR="001B4719" w:rsidRPr="00454F3F" w:rsidRDefault="001B4719" w:rsidP="000050AA">
            <w:pPr>
              <w:jc w:val="both"/>
            </w:pPr>
          </w:p>
        </w:tc>
        <w:tc>
          <w:tcPr>
            <w:tcW w:w="2665" w:type="dxa"/>
            <w:tcBorders>
              <w:right w:val="single" w:sz="12" w:space="0" w:color="auto"/>
            </w:tcBorders>
            <w:vAlign w:val="center"/>
          </w:tcPr>
          <w:p w14:paraId="183482B4"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3186EA77" w14:textId="77777777" w:rsidR="001B4719" w:rsidRPr="00F415BB" w:rsidRDefault="001B4719" w:rsidP="000050AA">
            <w:pPr>
              <w:jc w:val="both"/>
            </w:pPr>
            <w:r w:rsidRPr="00F415BB">
              <w:t>39,6</w:t>
            </w:r>
          </w:p>
        </w:tc>
        <w:tc>
          <w:tcPr>
            <w:tcW w:w="1077" w:type="dxa"/>
            <w:tcBorders>
              <w:left w:val="single" w:sz="12" w:space="0" w:color="auto"/>
              <w:right w:val="single" w:sz="12" w:space="0" w:color="auto"/>
            </w:tcBorders>
            <w:vAlign w:val="center"/>
          </w:tcPr>
          <w:p w14:paraId="1FDD9E1D" w14:textId="77777777" w:rsidR="001B4719" w:rsidRPr="00F415BB" w:rsidRDefault="001B4719" w:rsidP="000050AA">
            <w:pPr>
              <w:jc w:val="both"/>
            </w:pPr>
            <w:r w:rsidRPr="00F415BB">
              <w:t>55,5</w:t>
            </w:r>
          </w:p>
        </w:tc>
        <w:tc>
          <w:tcPr>
            <w:tcW w:w="1077" w:type="dxa"/>
            <w:tcBorders>
              <w:left w:val="single" w:sz="12" w:space="0" w:color="auto"/>
              <w:right w:val="single" w:sz="12" w:space="0" w:color="auto"/>
            </w:tcBorders>
            <w:vAlign w:val="center"/>
          </w:tcPr>
          <w:p w14:paraId="140791EF" w14:textId="77777777" w:rsidR="001B4719" w:rsidRPr="00F415BB" w:rsidRDefault="001B4719" w:rsidP="000050AA">
            <w:pPr>
              <w:jc w:val="both"/>
            </w:pPr>
            <w:r w:rsidRPr="00F415BB">
              <w:t>79,5</w:t>
            </w:r>
          </w:p>
        </w:tc>
        <w:tc>
          <w:tcPr>
            <w:tcW w:w="1077" w:type="dxa"/>
            <w:tcBorders>
              <w:left w:val="single" w:sz="12" w:space="0" w:color="auto"/>
              <w:right w:val="single" w:sz="12" w:space="0" w:color="auto"/>
            </w:tcBorders>
            <w:vAlign w:val="center"/>
          </w:tcPr>
          <w:p w14:paraId="017637AC" w14:textId="77777777" w:rsidR="001B4719" w:rsidRPr="00F415BB" w:rsidRDefault="001B4719" w:rsidP="000050AA">
            <w:pPr>
              <w:jc w:val="both"/>
            </w:pPr>
            <w:r w:rsidRPr="00F415BB">
              <w:t>105,0</w:t>
            </w:r>
          </w:p>
        </w:tc>
        <w:tc>
          <w:tcPr>
            <w:tcW w:w="1077" w:type="dxa"/>
            <w:tcBorders>
              <w:left w:val="single" w:sz="12" w:space="0" w:color="auto"/>
              <w:right w:val="single" w:sz="12" w:space="0" w:color="auto"/>
            </w:tcBorders>
            <w:vAlign w:val="center"/>
          </w:tcPr>
          <w:p w14:paraId="2F427DA7" w14:textId="77777777" w:rsidR="001B4719" w:rsidRPr="00F415BB" w:rsidRDefault="001B4719" w:rsidP="000050AA">
            <w:pPr>
              <w:jc w:val="both"/>
            </w:pPr>
            <w:r w:rsidRPr="00F415BB">
              <w:t>105,0</w:t>
            </w:r>
          </w:p>
        </w:tc>
      </w:tr>
      <w:tr w:rsidR="001B4719" w14:paraId="7BEE2F88" w14:textId="77777777" w:rsidTr="000050AA">
        <w:trPr>
          <w:trHeight w:val="510"/>
        </w:trPr>
        <w:tc>
          <w:tcPr>
            <w:tcW w:w="1134" w:type="dxa"/>
            <w:vMerge/>
            <w:tcBorders>
              <w:right w:val="single" w:sz="12" w:space="0" w:color="auto"/>
            </w:tcBorders>
            <w:vAlign w:val="center"/>
          </w:tcPr>
          <w:p w14:paraId="0ACE06D8" w14:textId="77777777" w:rsidR="001B4719" w:rsidRPr="00454F3F" w:rsidRDefault="001B4719" w:rsidP="000050AA">
            <w:pPr>
              <w:jc w:val="both"/>
            </w:pPr>
          </w:p>
        </w:tc>
        <w:tc>
          <w:tcPr>
            <w:tcW w:w="2665" w:type="dxa"/>
            <w:tcBorders>
              <w:right w:val="single" w:sz="12" w:space="0" w:color="auto"/>
            </w:tcBorders>
            <w:vAlign w:val="center"/>
          </w:tcPr>
          <w:p w14:paraId="1CE94814"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3C7EDA8E" w14:textId="77777777" w:rsidR="001B4719" w:rsidRPr="00F415BB" w:rsidRDefault="001B4719" w:rsidP="000050AA">
            <w:pPr>
              <w:jc w:val="both"/>
            </w:pPr>
            <w:r w:rsidRPr="00F415BB">
              <w:t>60,0</w:t>
            </w:r>
          </w:p>
        </w:tc>
        <w:tc>
          <w:tcPr>
            <w:tcW w:w="1077" w:type="dxa"/>
            <w:tcBorders>
              <w:left w:val="single" w:sz="12" w:space="0" w:color="auto"/>
              <w:right w:val="single" w:sz="12" w:space="0" w:color="auto"/>
            </w:tcBorders>
            <w:vAlign w:val="center"/>
          </w:tcPr>
          <w:p w14:paraId="69934D04" w14:textId="77777777" w:rsidR="001B4719" w:rsidRPr="00F415BB" w:rsidRDefault="001B4719" w:rsidP="000050AA">
            <w:pPr>
              <w:jc w:val="both"/>
            </w:pPr>
            <w:r w:rsidRPr="00F415BB">
              <w:t>17,0</w:t>
            </w:r>
          </w:p>
        </w:tc>
        <w:tc>
          <w:tcPr>
            <w:tcW w:w="1077" w:type="dxa"/>
            <w:tcBorders>
              <w:left w:val="single" w:sz="12" w:space="0" w:color="auto"/>
              <w:right w:val="single" w:sz="12" w:space="0" w:color="auto"/>
            </w:tcBorders>
            <w:vAlign w:val="center"/>
          </w:tcPr>
          <w:p w14:paraId="52FE894A" w14:textId="77777777" w:rsidR="001B4719" w:rsidRPr="00F415BB" w:rsidRDefault="001B4719" w:rsidP="000050AA">
            <w:pPr>
              <w:jc w:val="both"/>
            </w:pPr>
            <w:r w:rsidRPr="00F415BB">
              <w:t>24,0</w:t>
            </w:r>
          </w:p>
        </w:tc>
        <w:tc>
          <w:tcPr>
            <w:tcW w:w="1077" w:type="dxa"/>
            <w:tcBorders>
              <w:left w:val="single" w:sz="12" w:space="0" w:color="auto"/>
              <w:right w:val="single" w:sz="12" w:space="0" w:color="auto"/>
            </w:tcBorders>
            <w:vAlign w:val="center"/>
          </w:tcPr>
          <w:p w14:paraId="09E5B8DF" w14:textId="77777777" w:rsidR="001B4719" w:rsidRPr="00F415BB" w:rsidRDefault="001B4719" w:rsidP="000050AA">
            <w:pPr>
              <w:jc w:val="both"/>
            </w:pPr>
            <w:r w:rsidRPr="00F415BB">
              <w:t>12,0</w:t>
            </w:r>
          </w:p>
        </w:tc>
        <w:tc>
          <w:tcPr>
            <w:tcW w:w="1077" w:type="dxa"/>
            <w:tcBorders>
              <w:left w:val="single" w:sz="12" w:space="0" w:color="auto"/>
              <w:right w:val="single" w:sz="12" w:space="0" w:color="auto"/>
            </w:tcBorders>
            <w:vAlign w:val="center"/>
          </w:tcPr>
          <w:p w14:paraId="4CF20672" w14:textId="77777777" w:rsidR="001B4719" w:rsidRPr="00F415BB" w:rsidRDefault="001B4719" w:rsidP="000050AA">
            <w:pPr>
              <w:jc w:val="both"/>
            </w:pPr>
            <w:r w:rsidRPr="00F415BB">
              <w:t>4,0</w:t>
            </w:r>
          </w:p>
        </w:tc>
      </w:tr>
      <w:tr w:rsidR="001B4719" w14:paraId="492DCC30" w14:textId="77777777" w:rsidTr="000050AA">
        <w:trPr>
          <w:trHeight w:val="510"/>
        </w:trPr>
        <w:tc>
          <w:tcPr>
            <w:tcW w:w="1134" w:type="dxa"/>
            <w:vMerge/>
            <w:tcBorders>
              <w:right w:val="single" w:sz="12" w:space="0" w:color="auto"/>
            </w:tcBorders>
            <w:vAlign w:val="center"/>
          </w:tcPr>
          <w:p w14:paraId="7BA278BA" w14:textId="77777777" w:rsidR="001B4719" w:rsidRPr="00454F3F" w:rsidRDefault="001B4719" w:rsidP="000050AA">
            <w:pPr>
              <w:jc w:val="both"/>
            </w:pPr>
          </w:p>
        </w:tc>
        <w:tc>
          <w:tcPr>
            <w:tcW w:w="2665" w:type="dxa"/>
            <w:tcBorders>
              <w:right w:val="single" w:sz="12" w:space="0" w:color="auto"/>
            </w:tcBorders>
            <w:vAlign w:val="center"/>
          </w:tcPr>
          <w:p w14:paraId="22FE6F62"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1603C72A" w14:textId="77777777" w:rsidR="001B4719" w:rsidRPr="00F415BB" w:rsidRDefault="001B4719" w:rsidP="000050AA">
            <w:pPr>
              <w:jc w:val="both"/>
            </w:pPr>
            <w:r w:rsidRPr="00F415BB">
              <w:t>2,8</w:t>
            </w:r>
          </w:p>
        </w:tc>
        <w:tc>
          <w:tcPr>
            <w:tcW w:w="1077" w:type="dxa"/>
            <w:tcBorders>
              <w:left w:val="single" w:sz="12" w:space="0" w:color="auto"/>
              <w:right w:val="single" w:sz="12" w:space="0" w:color="auto"/>
            </w:tcBorders>
            <w:vAlign w:val="center"/>
          </w:tcPr>
          <w:p w14:paraId="29FC5174" w14:textId="77777777" w:rsidR="001B4719" w:rsidRPr="00F415BB" w:rsidRDefault="001B4719" w:rsidP="000050AA">
            <w:pPr>
              <w:jc w:val="both"/>
            </w:pPr>
            <w:r w:rsidRPr="00F415BB">
              <w:t>80,5</w:t>
            </w:r>
          </w:p>
        </w:tc>
        <w:tc>
          <w:tcPr>
            <w:tcW w:w="1077" w:type="dxa"/>
            <w:tcBorders>
              <w:left w:val="single" w:sz="12" w:space="0" w:color="auto"/>
              <w:right w:val="single" w:sz="12" w:space="0" w:color="auto"/>
            </w:tcBorders>
            <w:vAlign w:val="center"/>
          </w:tcPr>
          <w:p w14:paraId="4FCD95A6" w14:textId="77777777" w:rsidR="001B4719" w:rsidRPr="00F415BB" w:rsidRDefault="001B4719" w:rsidP="000050AA">
            <w:pPr>
              <w:jc w:val="both"/>
            </w:pPr>
            <w:r w:rsidRPr="00F415BB">
              <w:t>241,5</w:t>
            </w:r>
          </w:p>
        </w:tc>
        <w:tc>
          <w:tcPr>
            <w:tcW w:w="1077" w:type="dxa"/>
            <w:tcBorders>
              <w:left w:val="single" w:sz="12" w:space="0" w:color="auto"/>
              <w:right w:val="single" w:sz="12" w:space="0" w:color="auto"/>
            </w:tcBorders>
            <w:vAlign w:val="center"/>
          </w:tcPr>
          <w:p w14:paraId="1CF2D839" w14:textId="77777777" w:rsidR="001B4719" w:rsidRPr="00F415BB" w:rsidRDefault="001B4719" w:rsidP="000050AA">
            <w:pPr>
              <w:jc w:val="both"/>
            </w:pPr>
            <w:r w:rsidRPr="00F415BB">
              <w:t>420,0</w:t>
            </w:r>
          </w:p>
        </w:tc>
        <w:tc>
          <w:tcPr>
            <w:tcW w:w="1077" w:type="dxa"/>
            <w:tcBorders>
              <w:left w:val="single" w:sz="12" w:space="0" w:color="auto"/>
              <w:right w:val="single" w:sz="12" w:space="0" w:color="auto"/>
            </w:tcBorders>
            <w:vAlign w:val="center"/>
          </w:tcPr>
          <w:p w14:paraId="2B5DD129" w14:textId="77777777" w:rsidR="001B4719" w:rsidRPr="00F415BB" w:rsidRDefault="001B4719" w:rsidP="000050AA">
            <w:pPr>
              <w:jc w:val="both"/>
            </w:pPr>
            <w:r w:rsidRPr="00F415BB">
              <w:t>420,0</w:t>
            </w:r>
          </w:p>
        </w:tc>
      </w:tr>
      <w:tr w:rsidR="001B4719" w14:paraId="5A68BCC6" w14:textId="77777777" w:rsidTr="000050AA">
        <w:trPr>
          <w:trHeight w:val="510"/>
        </w:trPr>
        <w:tc>
          <w:tcPr>
            <w:tcW w:w="1134" w:type="dxa"/>
            <w:vMerge w:val="restart"/>
            <w:tcBorders>
              <w:right w:val="single" w:sz="12" w:space="0" w:color="auto"/>
            </w:tcBorders>
            <w:vAlign w:val="center"/>
          </w:tcPr>
          <w:p w14:paraId="7CFF3369" w14:textId="77777777" w:rsidR="001B4719" w:rsidRPr="00454F3F" w:rsidRDefault="001B4719" w:rsidP="000050AA">
            <w:pPr>
              <w:jc w:val="both"/>
            </w:pPr>
            <w:r>
              <w:t>V - BAU</w:t>
            </w:r>
          </w:p>
        </w:tc>
        <w:tc>
          <w:tcPr>
            <w:tcW w:w="2665" w:type="dxa"/>
            <w:tcBorders>
              <w:right w:val="single" w:sz="12" w:space="0" w:color="auto"/>
            </w:tcBorders>
            <w:vAlign w:val="center"/>
          </w:tcPr>
          <w:p w14:paraId="65644B83"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left w:val="single" w:sz="12" w:space="0" w:color="auto"/>
              <w:right w:val="single" w:sz="12" w:space="0" w:color="auto"/>
            </w:tcBorders>
            <w:vAlign w:val="center"/>
          </w:tcPr>
          <w:p w14:paraId="53B1D0E8" w14:textId="77777777" w:rsidR="001B4719" w:rsidRPr="00784BDA" w:rsidRDefault="001B4719" w:rsidP="000050AA">
            <w:pPr>
              <w:jc w:val="both"/>
              <w:rPr>
                <w:b/>
              </w:rPr>
            </w:pPr>
            <w:r w:rsidRPr="00784BDA">
              <w:rPr>
                <w:b/>
              </w:rPr>
              <w:t>83,5</w:t>
            </w:r>
          </w:p>
        </w:tc>
        <w:tc>
          <w:tcPr>
            <w:tcW w:w="1077" w:type="dxa"/>
            <w:tcBorders>
              <w:left w:val="single" w:sz="12" w:space="0" w:color="auto"/>
              <w:right w:val="single" w:sz="12" w:space="0" w:color="auto"/>
            </w:tcBorders>
            <w:vAlign w:val="center"/>
          </w:tcPr>
          <w:p w14:paraId="67A838D5" w14:textId="77777777" w:rsidR="001B4719" w:rsidRPr="00784BDA" w:rsidRDefault="001B4719" w:rsidP="000050AA">
            <w:pPr>
              <w:jc w:val="both"/>
              <w:rPr>
                <w:b/>
              </w:rPr>
            </w:pPr>
            <w:r w:rsidRPr="00784BDA">
              <w:rPr>
                <w:b/>
              </w:rPr>
              <w:t>195,5</w:t>
            </w:r>
          </w:p>
        </w:tc>
        <w:tc>
          <w:tcPr>
            <w:tcW w:w="1077" w:type="dxa"/>
            <w:tcBorders>
              <w:left w:val="single" w:sz="12" w:space="0" w:color="auto"/>
              <w:right w:val="single" w:sz="12" w:space="0" w:color="auto"/>
            </w:tcBorders>
            <w:vAlign w:val="center"/>
          </w:tcPr>
          <w:p w14:paraId="3B993A71" w14:textId="77777777" w:rsidR="001B4719" w:rsidRPr="00784BDA" w:rsidRDefault="001B4719" w:rsidP="000050AA">
            <w:pPr>
              <w:jc w:val="both"/>
              <w:rPr>
                <w:b/>
              </w:rPr>
            </w:pPr>
            <w:r w:rsidRPr="00784BDA">
              <w:rPr>
                <w:b/>
              </w:rPr>
              <w:t>383,7</w:t>
            </w:r>
          </w:p>
        </w:tc>
        <w:tc>
          <w:tcPr>
            <w:tcW w:w="1077" w:type="dxa"/>
            <w:tcBorders>
              <w:left w:val="single" w:sz="12" w:space="0" w:color="auto"/>
              <w:right w:val="single" w:sz="12" w:space="0" w:color="auto"/>
            </w:tcBorders>
            <w:vAlign w:val="center"/>
          </w:tcPr>
          <w:p w14:paraId="0063CC95" w14:textId="77777777" w:rsidR="001B4719" w:rsidRPr="00784BDA" w:rsidRDefault="001B4719" w:rsidP="000050AA">
            <w:pPr>
              <w:jc w:val="both"/>
              <w:rPr>
                <w:b/>
              </w:rPr>
            </w:pPr>
            <w:r w:rsidRPr="00784BDA">
              <w:rPr>
                <w:b/>
              </w:rPr>
              <w:t>546,2</w:t>
            </w:r>
          </w:p>
        </w:tc>
        <w:tc>
          <w:tcPr>
            <w:tcW w:w="1077" w:type="dxa"/>
            <w:tcBorders>
              <w:left w:val="single" w:sz="12" w:space="0" w:color="auto"/>
              <w:right w:val="single" w:sz="12" w:space="0" w:color="auto"/>
            </w:tcBorders>
            <w:vAlign w:val="center"/>
          </w:tcPr>
          <w:p w14:paraId="0FAC2734" w14:textId="77777777" w:rsidR="001B4719" w:rsidRPr="00784BDA" w:rsidRDefault="001B4719" w:rsidP="000050AA">
            <w:pPr>
              <w:jc w:val="both"/>
              <w:rPr>
                <w:b/>
              </w:rPr>
            </w:pPr>
            <w:r w:rsidRPr="00784BDA">
              <w:rPr>
                <w:b/>
              </w:rPr>
              <w:t>537,5</w:t>
            </w:r>
          </w:p>
        </w:tc>
      </w:tr>
      <w:tr w:rsidR="001B4719" w14:paraId="429E0EDF" w14:textId="77777777" w:rsidTr="000050AA">
        <w:trPr>
          <w:trHeight w:val="510"/>
        </w:trPr>
        <w:tc>
          <w:tcPr>
            <w:tcW w:w="1134" w:type="dxa"/>
            <w:vMerge/>
            <w:tcBorders>
              <w:right w:val="single" w:sz="12" w:space="0" w:color="auto"/>
            </w:tcBorders>
            <w:vAlign w:val="center"/>
          </w:tcPr>
          <w:p w14:paraId="7F1ED9B0" w14:textId="77777777" w:rsidR="001B4719" w:rsidRPr="00454F3F" w:rsidRDefault="001B4719" w:rsidP="000050AA">
            <w:pPr>
              <w:jc w:val="both"/>
            </w:pPr>
          </w:p>
        </w:tc>
        <w:tc>
          <w:tcPr>
            <w:tcW w:w="2665" w:type="dxa"/>
            <w:tcBorders>
              <w:right w:val="single" w:sz="12" w:space="0" w:color="auto"/>
            </w:tcBorders>
            <w:vAlign w:val="center"/>
          </w:tcPr>
          <w:p w14:paraId="5D923E94"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4E77A787" w14:textId="77777777" w:rsidR="001B4719" w:rsidRPr="00F415BB" w:rsidRDefault="001B4719" w:rsidP="000050AA">
            <w:pPr>
              <w:jc w:val="both"/>
            </w:pPr>
            <w:r w:rsidRPr="00F415BB">
              <w:t>36,0</w:t>
            </w:r>
          </w:p>
        </w:tc>
        <w:tc>
          <w:tcPr>
            <w:tcW w:w="1077" w:type="dxa"/>
            <w:tcBorders>
              <w:left w:val="single" w:sz="12" w:space="0" w:color="auto"/>
              <w:right w:val="single" w:sz="12" w:space="0" w:color="auto"/>
            </w:tcBorders>
            <w:vAlign w:val="center"/>
          </w:tcPr>
          <w:p w14:paraId="5F62D83B" w14:textId="77777777" w:rsidR="001B4719" w:rsidRPr="00F415BB" w:rsidRDefault="001B4719" w:rsidP="000050AA">
            <w:pPr>
              <w:jc w:val="both"/>
            </w:pPr>
            <w:r w:rsidRPr="00F415BB">
              <w:t>52,5</w:t>
            </w:r>
          </w:p>
        </w:tc>
        <w:tc>
          <w:tcPr>
            <w:tcW w:w="1077" w:type="dxa"/>
            <w:tcBorders>
              <w:left w:val="single" w:sz="12" w:space="0" w:color="auto"/>
              <w:right w:val="single" w:sz="12" w:space="0" w:color="auto"/>
            </w:tcBorders>
            <w:vAlign w:val="center"/>
          </w:tcPr>
          <w:p w14:paraId="6E0E48BD" w14:textId="77777777" w:rsidR="001B4719" w:rsidRPr="00F415BB" w:rsidRDefault="001B4719" w:rsidP="000050AA">
            <w:pPr>
              <w:jc w:val="both"/>
            </w:pPr>
            <w:r w:rsidRPr="00F415BB">
              <w:t>66,0</w:t>
            </w:r>
          </w:p>
        </w:tc>
        <w:tc>
          <w:tcPr>
            <w:tcW w:w="1077" w:type="dxa"/>
            <w:tcBorders>
              <w:left w:val="single" w:sz="12" w:space="0" w:color="auto"/>
              <w:right w:val="single" w:sz="12" w:space="0" w:color="auto"/>
            </w:tcBorders>
            <w:vAlign w:val="center"/>
          </w:tcPr>
          <w:p w14:paraId="35097DC9" w14:textId="77777777" w:rsidR="001B4719" w:rsidRPr="00F415BB" w:rsidRDefault="001B4719" w:rsidP="000050AA">
            <w:pPr>
              <w:jc w:val="both"/>
            </w:pPr>
            <w:r w:rsidRPr="00F415BB">
              <w:t>48,5</w:t>
            </w:r>
          </w:p>
        </w:tc>
        <w:tc>
          <w:tcPr>
            <w:tcW w:w="1077" w:type="dxa"/>
            <w:tcBorders>
              <w:left w:val="single" w:sz="12" w:space="0" w:color="auto"/>
              <w:right w:val="single" w:sz="12" w:space="0" w:color="auto"/>
            </w:tcBorders>
            <w:vAlign w:val="center"/>
          </w:tcPr>
          <w:p w14:paraId="482B5D10" w14:textId="77777777" w:rsidR="001B4719" w:rsidRPr="00F415BB" w:rsidRDefault="001B4719" w:rsidP="000050AA">
            <w:pPr>
              <w:jc w:val="both"/>
            </w:pPr>
            <w:r w:rsidRPr="00F415BB">
              <w:t>41,1</w:t>
            </w:r>
          </w:p>
        </w:tc>
      </w:tr>
      <w:tr w:rsidR="001B4719" w14:paraId="4BE89EAC" w14:textId="77777777" w:rsidTr="000050AA">
        <w:trPr>
          <w:trHeight w:val="510"/>
        </w:trPr>
        <w:tc>
          <w:tcPr>
            <w:tcW w:w="1134" w:type="dxa"/>
            <w:vMerge/>
            <w:tcBorders>
              <w:right w:val="single" w:sz="12" w:space="0" w:color="auto"/>
            </w:tcBorders>
            <w:vAlign w:val="center"/>
          </w:tcPr>
          <w:p w14:paraId="44AD559B" w14:textId="77777777" w:rsidR="001B4719" w:rsidRPr="00454F3F" w:rsidRDefault="001B4719" w:rsidP="000050AA">
            <w:pPr>
              <w:jc w:val="both"/>
            </w:pPr>
          </w:p>
        </w:tc>
        <w:tc>
          <w:tcPr>
            <w:tcW w:w="2665" w:type="dxa"/>
            <w:tcBorders>
              <w:right w:val="single" w:sz="12" w:space="0" w:color="auto"/>
            </w:tcBorders>
            <w:vAlign w:val="center"/>
          </w:tcPr>
          <w:p w14:paraId="48B9F7EB"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2168DFB2" w14:textId="77777777" w:rsidR="001B4719" w:rsidRPr="00F415BB" w:rsidRDefault="001B4719" w:rsidP="000050AA">
            <w:pPr>
              <w:jc w:val="both"/>
            </w:pPr>
            <w:r w:rsidRPr="00F415BB">
              <w:t>38,7</w:t>
            </w:r>
          </w:p>
        </w:tc>
        <w:tc>
          <w:tcPr>
            <w:tcW w:w="1077" w:type="dxa"/>
            <w:tcBorders>
              <w:left w:val="single" w:sz="12" w:space="0" w:color="auto"/>
              <w:right w:val="single" w:sz="12" w:space="0" w:color="auto"/>
            </w:tcBorders>
            <w:vAlign w:val="center"/>
          </w:tcPr>
          <w:p w14:paraId="4F5A63AA" w14:textId="77777777" w:rsidR="001B4719" w:rsidRPr="00F415BB" w:rsidRDefault="001B4719" w:rsidP="000050AA">
            <w:pPr>
              <w:jc w:val="both"/>
            </w:pPr>
            <w:r w:rsidRPr="00F415BB">
              <w:t>45,5</w:t>
            </w:r>
          </w:p>
        </w:tc>
        <w:tc>
          <w:tcPr>
            <w:tcW w:w="1077" w:type="dxa"/>
            <w:tcBorders>
              <w:left w:val="single" w:sz="12" w:space="0" w:color="auto"/>
              <w:right w:val="single" w:sz="12" w:space="0" w:color="auto"/>
            </w:tcBorders>
            <w:vAlign w:val="center"/>
          </w:tcPr>
          <w:p w14:paraId="59AE4CD8" w14:textId="77777777" w:rsidR="001B4719" w:rsidRPr="00F415BB" w:rsidRDefault="001B4719" w:rsidP="000050AA">
            <w:pPr>
              <w:jc w:val="both"/>
            </w:pPr>
            <w:r w:rsidRPr="00F415BB">
              <w:t>52,2</w:t>
            </w:r>
          </w:p>
        </w:tc>
        <w:tc>
          <w:tcPr>
            <w:tcW w:w="1077" w:type="dxa"/>
            <w:tcBorders>
              <w:left w:val="single" w:sz="12" w:space="0" w:color="auto"/>
              <w:right w:val="single" w:sz="12" w:space="0" w:color="auto"/>
            </w:tcBorders>
            <w:vAlign w:val="center"/>
          </w:tcPr>
          <w:p w14:paraId="0EC6DD61" w14:textId="77777777" w:rsidR="001B4719" w:rsidRPr="00F415BB" w:rsidRDefault="001B4719" w:rsidP="000050AA">
            <w:pPr>
              <w:jc w:val="both"/>
            </w:pPr>
            <w:r w:rsidRPr="00F415BB">
              <w:t>65,7</w:t>
            </w:r>
          </w:p>
        </w:tc>
        <w:tc>
          <w:tcPr>
            <w:tcW w:w="1077" w:type="dxa"/>
            <w:tcBorders>
              <w:left w:val="single" w:sz="12" w:space="0" w:color="auto"/>
              <w:right w:val="single" w:sz="12" w:space="0" w:color="auto"/>
            </w:tcBorders>
            <w:vAlign w:val="center"/>
          </w:tcPr>
          <w:p w14:paraId="7E277CB8" w14:textId="77777777" w:rsidR="001B4719" w:rsidRPr="00F415BB" w:rsidRDefault="001B4719" w:rsidP="000050AA">
            <w:pPr>
              <w:jc w:val="both"/>
            </w:pPr>
            <w:r w:rsidRPr="00F415BB">
              <w:t>72,5</w:t>
            </w:r>
          </w:p>
        </w:tc>
      </w:tr>
      <w:tr w:rsidR="001B4719" w14:paraId="72DE8D59" w14:textId="77777777" w:rsidTr="000050AA">
        <w:trPr>
          <w:trHeight w:val="510"/>
        </w:trPr>
        <w:tc>
          <w:tcPr>
            <w:tcW w:w="1134" w:type="dxa"/>
            <w:vMerge/>
            <w:tcBorders>
              <w:right w:val="single" w:sz="12" w:space="0" w:color="auto"/>
            </w:tcBorders>
            <w:vAlign w:val="center"/>
          </w:tcPr>
          <w:p w14:paraId="361C01D4" w14:textId="77777777" w:rsidR="001B4719" w:rsidRPr="00454F3F" w:rsidRDefault="001B4719" w:rsidP="000050AA">
            <w:pPr>
              <w:jc w:val="both"/>
            </w:pPr>
          </w:p>
        </w:tc>
        <w:tc>
          <w:tcPr>
            <w:tcW w:w="2665" w:type="dxa"/>
            <w:tcBorders>
              <w:right w:val="single" w:sz="12" w:space="0" w:color="auto"/>
            </w:tcBorders>
            <w:vAlign w:val="center"/>
          </w:tcPr>
          <w:p w14:paraId="6B7EF795"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00ECF99B" w14:textId="77777777" w:rsidR="001B4719" w:rsidRPr="00F415BB" w:rsidRDefault="001B4719" w:rsidP="000050AA">
            <w:pPr>
              <w:jc w:val="both"/>
            </w:pPr>
            <w:r w:rsidRPr="00F415BB">
              <w:t>6,0</w:t>
            </w:r>
          </w:p>
        </w:tc>
        <w:tc>
          <w:tcPr>
            <w:tcW w:w="1077" w:type="dxa"/>
            <w:tcBorders>
              <w:left w:val="single" w:sz="12" w:space="0" w:color="auto"/>
              <w:right w:val="single" w:sz="12" w:space="0" w:color="auto"/>
            </w:tcBorders>
            <w:vAlign w:val="center"/>
          </w:tcPr>
          <w:p w14:paraId="1E306722" w14:textId="77777777" w:rsidR="001B4719" w:rsidRPr="00F415BB" w:rsidRDefault="001B4719" w:rsidP="000050AA">
            <w:pPr>
              <w:jc w:val="both"/>
            </w:pPr>
            <w:r w:rsidRPr="00F415BB">
              <w:t>17,0</w:t>
            </w:r>
          </w:p>
        </w:tc>
        <w:tc>
          <w:tcPr>
            <w:tcW w:w="1077" w:type="dxa"/>
            <w:tcBorders>
              <w:left w:val="single" w:sz="12" w:space="0" w:color="auto"/>
              <w:right w:val="single" w:sz="12" w:space="0" w:color="auto"/>
            </w:tcBorders>
            <w:vAlign w:val="center"/>
          </w:tcPr>
          <w:p w14:paraId="41F14331" w14:textId="77777777" w:rsidR="001B4719" w:rsidRPr="00F415BB" w:rsidRDefault="001B4719" w:rsidP="000050AA">
            <w:pPr>
              <w:jc w:val="both"/>
            </w:pPr>
            <w:r w:rsidRPr="00F415BB">
              <w:t>24,0</w:t>
            </w:r>
          </w:p>
        </w:tc>
        <w:tc>
          <w:tcPr>
            <w:tcW w:w="1077" w:type="dxa"/>
            <w:tcBorders>
              <w:left w:val="single" w:sz="12" w:space="0" w:color="auto"/>
              <w:right w:val="single" w:sz="12" w:space="0" w:color="auto"/>
            </w:tcBorders>
            <w:vAlign w:val="center"/>
          </w:tcPr>
          <w:p w14:paraId="5FAB8AD9" w14:textId="77777777" w:rsidR="001B4719" w:rsidRPr="00F415BB" w:rsidRDefault="001B4719" w:rsidP="000050AA">
            <w:pPr>
              <w:jc w:val="both"/>
            </w:pPr>
            <w:r w:rsidRPr="00F415BB">
              <w:t>12,0</w:t>
            </w:r>
          </w:p>
        </w:tc>
        <w:tc>
          <w:tcPr>
            <w:tcW w:w="1077" w:type="dxa"/>
            <w:tcBorders>
              <w:left w:val="single" w:sz="12" w:space="0" w:color="auto"/>
              <w:right w:val="single" w:sz="12" w:space="0" w:color="auto"/>
            </w:tcBorders>
            <w:vAlign w:val="center"/>
          </w:tcPr>
          <w:p w14:paraId="52FA9979" w14:textId="77777777" w:rsidR="001B4719" w:rsidRPr="00F415BB" w:rsidRDefault="001B4719" w:rsidP="000050AA">
            <w:pPr>
              <w:jc w:val="both"/>
            </w:pPr>
            <w:r w:rsidRPr="00F415BB">
              <w:t>4,0</w:t>
            </w:r>
          </w:p>
        </w:tc>
      </w:tr>
      <w:tr w:rsidR="001B4719" w14:paraId="206AAA06" w14:textId="77777777" w:rsidTr="000050AA">
        <w:trPr>
          <w:trHeight w:val="510"/>
        </w:trPr>
        <w:tc>
          <w:tcPr>
            <w:tcW w:w="1134" w:type="dxa"/>
            <w:vMerge/>
            <w:tcBorders>
              <w:right w:val="single" w:sz="12" w:space="0" w:color="auto"/>
            </w:tcBorders>
            <w:vAlign w:val="center"/>
          </w:tcPr>
          <w:p w14:paraId="5EE179BB" w14:textId="77777777" w:rsidR="001B4719" w:rsidRPr="00454F3F" w:rsidRDefault="001B4719" w:rsidP="000050AA">
            <w:pPr>
              <w:jc w:val="both"/>
            </w:pPr>
          </w:p>
        </w:tc>
        <w:tc>
          <w:tcPr>
            <w:tcW w:w="2665" w:type="dxa"/>
            <w:tcBorders>
              <w:right w:val="single" w:sz="12" w:space="0" w:color="auto"/>
            </w:tcBorders>
            <w:vAlign w:val="center"/>
          </w:tcPr>
          <w:p w14:paraId="0B07D214"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46130642" w14:textId="77777777" w:rsidR="001B4719" w:rsidRPr="00F415BB" w:rsidRDefault="001B4719" w:rsidP="000050AA">
            <w:pPr>
              <w:jc w:val="both"/>
            </w:pPr>
            <w:r w:rsidRPr="00F415BB">
              <w:t>2,8</w:t>
            </w:r>
          </w:p>
        </w:tc>
        <w:tc>
          <w:tcPr>
            <w:tcW w:w="1077" w:type="dxa"/>
            <w:tcBorders>
              <w:left w:val="single" w:sz="12" w:space="0" w:color="auto"/>
              <w:right w:val="single" w:sz="12" w:space="0" w:color="auto"/>
            </w:tcBorders>
            <w:vAlign w:val="center"/>
          </w:tcPr>
          <w:p w14:paraId="62E3E645" w14:textId="77777777" w:rsidR="001B4719" w:rsidRPr="00F415BB" w:rsidRDefault="001B4719" w:rsidP="000050AA">
            <w:pPr>
              <w:jc w:val="both"/>
            </w:pPr>
            <w:r w:rsidRPr="00F415BB">
              <w:t>80,5</w:t>
            </w:r>
          </w:p>
        </w:tc>
        <w:tc>
          <w:tcPr>
            <w:tcW w:w="1077" w:type="dxa"/>
            <w:tcBorders>
              <w:left w:val="single" w:sz="12" w:space="0" w:color="auto"/>
              <w:right w:val="single" w:sz="12" w:space="0" w:color="auto"/>
            </w:tcBorders>
            <w:vAlign w:val="center"/>
          </w:tcPr>
          <w:p w14:paraId="5C05CC2B" w14:textId="77777777" w:rsidR="001B4719" w:rsidRPr="00F415BB" w:rsidRDefault="001B4719" w:rsidP="000050AA">
            <w:pPr>
              <w:jc w:val="both"/>
            </w:pPr>
            <w:r w:rsidRPr="00F415BB">
              <w:t>241,5</w:t>
            </w:r>
          </w:p>
        </w:tc>
        <w:tc>
          <w:tcPr>
            <w:tcW w:w="1077" w:type="dxa"/>
            <w:tcBorders>
              <w:left w:val="single" w:sz="12" w:space="0" w:color="auto"/>
              <w:right w:val="single" w:sz="12" w:space="0" w:color="auto"/>
            </w:tcBorders>
            <w:vAlign w:val="center"/>
          </w:tcPr>
          <w:p w14:paraId="6576650F" w14:textId="77777777" w:rsidR="001B4719" w:rsidRPr="00F415BB" w:rsidRDefault="001B4719" w:rsidP="000050AA">
            <w:pPr>
              <w:jc w:val="both"/>
            </w:pPr>
            <w:r w:rsidRPr="00F415BB">
              <w:t>420,0</w:t>
            </w:r>
          </w:p>
        </w:tc>
        <w:tc>
          <w:tcPr>
            <w:tcW w:w="1077" w:type="dxa"/>
            <w:tcBorders>
              <w:left w:val="single" w:sz="12" w:space="0" w:color="auto"/>
              <w:right w:val="single" w:sz="12" w:space="0" w:color="auto"/>
            </w:tcBorders>
            <w:vAlign w:val="center"/>
          </w:tcPr>
          <w:p w14:paraId="0A0FEFAE" w14:textId="77777777" w:rsidR="001B4719" w:rsidRPr="00F415BB" w:rsidRDefault="001B4719" w:rsidP="000050AA">
            <w:pPr>
              <w:jc w:val="both"/>
            </w:pPr>
            <w:r w:rsidRPr="00F415BB">
              <w:t>420,0</w:t>
            </w:r>
          </w:p>
        </w:tc>
      </w:tr>
      <w:tr w:rsidR="001B4719" w14:paraId="50A15AB8" w14:textId="77777777" w:rsidTr="000050AA">
        <w:trPr>
          <w:trHeight w:val="510"/>
        </w:trPr>
        <w:tc>
          <w:tcPr>
            <w:tcW w:w="1134" w:type="dxa"/>
            <w:vMerge w:val="restart"/>
            <w:tcBorders>
              <w:right w:val="single" w:sz="12" w:space="0" w:color="auto"/>
            </w:tcBorders>
            <w:vAlign w:val="center"/>
          </w:tcPr>
          <w:p w14:paraId="37096A6B" w14:textId="77777777" w:rsidR="001B4719" w:rsidRPr="00454F3F" w:rsidRDefault="001B4719" w:rsidP="000050AA">
            <w:pPr>
              <w:jc w:val="both"/>
            </w:pPr>
            <w:r>
              <w:t>V - BP</w:t>
            </w:r>
          </w:p>
        </w:tc>
        <w:tc>
          <w:tcPr>
            <w:tcW w:w="2665" w:type="dxa"/>
            <w:tcBorders>
              <w:right w:val="single" w:sz="12" w:space="0" w:color="auto"/>
            </w:tcBorders>
            <w:vAlign w:val="center"/>
          </w:tcPr>
          <w:p w14:paraId="7F445439" w14:textId="77777777" w:rsidR="001B4719" w:rsidRPr="001C4EBE" w:rsidRDefault="001B4719" w:rsidP="000050AA">
            <w:pPr>
              <w:spacing w:before="100" w:beforeAutospacing="1" w:after="100" w:afterAutospacing="1"/>
              <w:jc w:val="both"/>
              <w:rPr>
                <w:b/>
              </w:rPr>
            </w:pPr>
            <w:r w:rsidRPr="001C4EBE">
              <w:rPr>
                <w:b/>
              </w:rPr>
              <w:t>Suma</w:t>
            </w:r>
          </w:p>
        </w:tc>
        <w:tc>
          <w:tcPr>
            <w:tcW w:w="1077" w:type="dxa"/>
            <w:tcBorders>
              <w:left w:val="single" w:sz="12" w:space="0" w:color="auto"/>
              <w:right w:val="single" w:sz="12" w:space="0" w:color="auto"/>
            </w:tcBorders>
            <w:vAlign w:val="center"/>
          </w:tcPr>
          <w:p w14:paraId="7B60083D" w14:textId="77777777" w:rsidR="001B4719" w:rsidRPr="00784BDA" w:rsidRDefault="001B4719" w:rsidP="000050AA">
            <w:pPr>
              <w:jc w:val="both"/>
              <w:rPr>
                <w:b/>
              </w:rPr>
            </w:pPr>
            <w:r w:rsidRPr="00784BDA">
              <w:rPr>
                <w:b/>
              </w:rPr>
              <w:t>78,5</w:t>
            </w:r>
          </w:p>
        </w:tc>
        <w:tc>
          <w:tcPr>
            <w:tcW w:w="1077" w:type="dxa"/>
            <w:tcBorders>
              <w:left w:val="single" w:sz="12" w:space="0" w:color="auto"/>
              <w:right w:val="single" w:sz="12" w:space="0" w:color="auto"/>
            </w:tcBorders>
            <w:vAlign w:val="center"/>
          </w:tcPr>
          <w:p w14:paraId="2E28FDFA" w14:textId="77777777" w:rsidR="001B4719" w:rsidRPr="00784BDA" w:rsidRDefault="001B4719" w:rsidP="000050AA">
            <w:pPr>
              <w:jc w:val="both"/>
              <w:rPr>
                <w:b/>
              </w:rPr>
            </w:pPr>
            <w:r w:rsidRPr="00784BDA">
              <w:rPr>
                <w:b/>
              </w:rPr>
              <w:t>156,1</w:t>
            </w:r>
          </w:p>
        </w:tc>
        <w:tc>
          <w:tcPr>
            <w:tcW w:w="1077" w:type="dxa"/>
            <w:tcBorders>
              <w:left w:val="single" w:sz="12" w:space="0" w:color="auto"/>
              <w:right w:val="single" w:sz="12" w:space="0" w:color="auto"/>
            </w:tcBorders>
            <w:vAlign w:val="center"/>
          </w:tcPr>
          <w:p w14:paraId="75A4365C" w14:textId="77777777" w:rsidR="001B4719" w:rsidRPr="00784BDA" w:rsidRDefault="001B4719" w:rsidP="000050AA">
            <w:pPr>
              <w:jc w:val="both"/>
              <w:rPr>
                <w:b/>
              </w:rPr>
            </w:pPr>
            <w:r w:rsidRPr="00784BDA">
              <w:rPr>
                <w:b/>
              </w:rPr>
              <w:t>224,7</w:t>
            </w:r>
          </w:p>
        </w:tc>
        <w:tc>
          <w:tcPr>
            <w:tcW w:w="1077" w:type="dxa"/>
            <w:tcBorders>
              <w:left w:val="single" w:sz="12" w:space="0" w:color="auto"/>
              <w:right w:val="single" w:sz="12" w:space="0" w:color="auto"/>
            </w:tcBorders>
            <w:vAlign w:val="center"/>
          </w:tcPr>
          <w:p w14:paraId="37C65FC2" w14:textId="77777777" w:rsidR="001B4719" w:rsidRPr="00784BDA" w:rsidRDefault="001B4719" w:rsidP="000050AA">
            <w:pPr>
              <w:jc w:val="both"/>
              <w:rPr>
                <w:b/>
              </w:rPr>
            </w:pPr>
            <w:r w:rsidRPr="00784BDA">
              <w:rPr>
                <w:b/>
              </w:rPr>
              <w:t>223,2</w:t>
            </w:r>
          </w:p>
        </w:tc>
        <w:tc>
          <w:tcPr>
            <w:tcW w:w="1077" w:type="dxa"/>
            <w:tcBorders>
              <w:left w:val="single" w:sz="12" w:space="0" w:color="auto"/>
              <w:right w:val="single" w:sz="12" w:space="0" w:color="auto"/>
            </w:tcBorders>
            <w:vAlign w:val="center"/>
          </w:tcPr>
          <w:p w14:paraId="50546486" w14:textId="77777777" w:rsidR="001B4719" w:rsidRPr="00784BDA" w:rsidRDefault="001B4719" w:rsidP="000050AA">
            <w:pPr>
              <w:jc w:val="both"/>
              <w:rPr>
                <w:b/>
              </w:rPr>
            </w:pPr>
            <w:r w:rsidRPr="00784BDA">
              <w:rPr>
                <w:b/>
              </w:rPr>
              <w:t>159,5</w:t>
            </w:r>
          </w:p>
        </w:tc>
      </w:tr>
      <w:tr w:rsidR="001B4719" w14:paraId="2C08C2C5" w14:textId="77777777" w:rsidTr="000050AA">
        <w:trPr>
          <w:trHeight w:val="510"/>
        </w:trPr>
        <w:tc>
          <w:tcPr>
            <w:tcW w:w="1134" w:type="dxa"/>
            <w:vMerge/>
            <w:tcBorders>
              <w:right w:val="single" w:sz="12" w:space="0" w:color="auto"/>
            </w:tcBorders>
            <w:vAlign w:val="center"/>
          </w:tcPr>
          <w:p w14:paraId="59223037" w14:textId="77777777" w:rsidR="001B4719" w:rsidRPr="00454F3F" w:rsidRDefault="001B4719" w:rsidP="000050AA">
            <w:pPr>
              <w:jc w:val="both"/>
            </w:pPr>
          </w:p>
        </w:tc>
        <w:tc>
          <w:tcPr>
            <w:tcW w:w="2665" w:type="dxa"/>
            <w:tcBorders>
              <w:right w:val="single" w:sz="12" w:space="0" w:color="auto"/>
            </w:tcBorders>
            <w:vAlign w:val="center"/>
          </w:tcPr>
          <w:p w14:paraId="0FA092FD" w14:textId="77777777" w:rsidR="001B4719" w:rsidRPr="0012048A" w:rsidRDefault="001B4719" w:rsidP="000050AA">
            <w:pPr>
              <w:spacing w:before="100" w:beforeAutospacing="1" w:after="100" w:afterAutospacing="1"/>
              <w:jc w:val="both"/>
            </w:pPr>
            <w:r w:rsidRPr="0012048A">
              <w:t>OA + LUV CNG</w:t>
            </w:r>
          </w:p>
        </w:tc>
        <w:tc>
          <w:tcPr>
            <w:tcW w:w="1077" w:type="dxa"/>
            <w:tcBorders>
              <w:left w:val="single" w:sz="12" w:space="0" w:color="auto"/>
              <w:right w:val="single" w:sz="12" w:space="0" w:color="auto"/>
            </w:tcBorders>
            <w:vAlign w:val="center"/>
          </w:tcPr>
          <w:p w14:paraId="1E33A1B2" w14:textId="77777777" w:rsidR="001B4719" w:rsidRPr="00F415BB" w:rsidRDefault="001B4719" w:rsidP="000050AA">
            <w:pPr>
              <w:jc w:val="both"/>
            </w:pPr>
            <w:r w:rsidRPr="00F415BB">
              <w:t>31,7</w:t>
            </w:r>
          </w:p>
        </w:tc>
        <w:tc>
          <w:tcPr>
            <w:tcW w:w="1077" w:type="dxa"/>
            <w:tcBorders>
              <w:left w:val="single" w:sz="12" w:space="0" w:color="auto"/>
              <w:right w:val="single" w:sz="12" w:space="0" w:color="auto"/>
            </w:tcBorders>
            <w:vAlign w:val="center"/>
          </w:tcPr>
          <w:p w14:paraId="3DCEDC77" w14:textId="77777777" w:rsidR="001B4719" w:rsidRPr="00F415BB" w:rsidRDefault="001B4719" w:rsidP="000050AA">
            <w:pPr>
              <w:jc w:val="both"/>
            </w:pPr>
            <w:r w:rsidRPr="00F415BB">
              <w:t>38,2</w:t>
            </w:r>
          </w:p>
        </w:tc>
        <w:tc>
          <w:tcPr>
            <w:tcW w:w="1077" w:type="dxa"/>
            <w:tcBorders>
              <w:left w:val="single" w:sz="12" w:space="0" w:color="auto"/>
              <w:right w:val="single" w:sz="12" w:space="0" w:color="auto"/>
            </w:tcBorders>
            <w:vAlign w:val="center"/>
          </w:tcPr>
          <w:p w14:paraId="43ECA0EA" w14:textId="77777777" w:rsidR="001B4719" w:rsidRPr="00F415BB" w:rsidRDefault="001B4719" w:rsidP="000050AA">
            <w:pPr>
              <w:jc w:val="both"/>
            </w:pPr>
            <w:r w:rsidRPr="00F415BB">
              <w:t>30,0</w:t>
            </w:r>
          </w:p>
        </w:tc>
        <w:tc>
          <w:tcPr>
            <w:tcW w:w="1077" w:type="dxa"/>
            <w:tcBorders>
              <w:left w:val="single" w:sz="12" w:space="0" w:color="auto"/>
              <w:right w:val="single" w:sz="12" w:space="0" w:color="auto"/>
            </w:tcBorders>
            <w:vAlign w:val="center"/>
          </w:tcPr>
          <w:p w14:paraId="67E6091F" w14:textId="77777777" w:rsidR="001B4719" w:rsidRPr="00F415BB" w:rsidRDefault="001B4719" w:rsidP="000050AA">
            <w:pPr>
              <w:jc w:val="both"/>
            </w:pPr>
            <w:r w:rsidRPr="00F415BB">
              <w:t>12,0</w:t>
            </w:r>
          </w:p>
        </w:tc>
        <w:tc>
          <w:tcPr>
            <w:tcW w:w="1077" w:type="dxa"/>
            <w:tcBorders>
              <w:left w:val="single" w:sz="12" w:space="0" w:color="auto"/>
              <w:right w:val="single" w:sz="12" w:space="0" w:color="auto"/>
            </w:tcBorders>
            <w:vAlign w:val="center"/>
          </w:tcPr>
          <w:p w14:paraId="7EF8DB7A" w14:textId="77777777" w:rsidR="001B4719" w:rsidRPr="00F415BB" w:rsidRDefault="001B4719" w:rsidP="000050AA">
            <w:pPr>
              <w:jc w:val="both"/>
            </w:pPr>
            <w:r w:rsidRPr="00F415BB">
              <w:t>3,0</w:t>
            </w:r>
          </w:p>
        </w:tc>
      </w:tr>
      <w:tr w:rsidR="001B4719" w14:paraId="76A4138B" w14:textId="77777777" w:rsidTr="000050AA">
        <w:trPr>
          <w:trHeight w:val="510"/>
        </w:trPr>
        <w:tc>
          <w:tcPr>
            <w:tcW w:w="1134" w:type="dxa"/>
            <w:vMerge/>
            <w:tcBorders>
              <w:right w:val="single" w:sz="12" w:space="0" w:color="auto"/>
            </w:tcBorders>
            <w:vAlign w:val="center"/>
          </w:tcPr>
          <w:p w14:paraId="6724C553" w14:textId="77777777" w:rsidR="001B4719" w:rsidRPr="00454F3F" w:rsidRDefault="001B4719" w:rsidP="000050AA">
            <w:pPr>
              <w:jc w:val="both"/>
            </w:pPr>
          </w:p>
        </w:tc>
        <w:tc>
          <w:tcPr>
            <w:tcW w:w="2665" w:type="dxa"/>
            <w:tcBorders>
              <w:right w:val="single" w:sz="12" w:space="0" w:color="auto"/>
            </w:tcBorders>
            <w:vAlign w:val="center"/>
          </w:tcPr>
          <w:p w14:paraId="08B2DF1E" w14:textId="77777777" w:rsidR="001B4719" w:rsidRPr="0012048A" w:rsidRDefault="001B4719" w:rsidP="000050AA">
            <w:pPr>
              <w:spacing w:before="100" w:beforeAutospacing="1" w:after="100" w:afterAutospacing="1"/>
              <w:jc w:val="both"/>
            </w:pPr>
            <w:r w:rsidRPr="0012048A">
              <w:t>BUS CNG</w:t>
            </w:r>
          </w:p>
        </w:tc>
        <w:tc>
          <w:tcPr>
            <w:tcW w:w="1077" w:type="dxa"/>
            <w:tcBorders>
              <w:left w:val="single" w:sz="12" w:space="0" w:color="auto"/>
              <w:right w:val="single" w:sz="12" w:space="0" w:color="auto"/>
            </w:tcBorders>
            <w:vAlign w:val="center"/>
          </w:tcPr>
          <w:p w14:paraId="51262CD5" w14:textId="77777777" w:rsidR="001B4719" w:rsidRPr="00F415BB" w:rsidRDefault="001B4719" w:rsidP="000050AA">
            <w:pPr>
              <w:jc w:val="both"/>
            </w:pPr>
            <w:r w:rsidRPr="00F415BB">
              <w:t>38,7</w:t>
            </w:r>
          </w:p>
        </w:tc>
        <w:tc>
          <w:tcPr>
            <w:tcW w:w="1077" w:type="dxa"/>
            <w:tcBorders>
              <w:left w:val="single" w:sz="12" w:space="0" w:color="auto"/>
              <w:right w:val="single" w:sz="12" w:space="0" w:color="auto"/>
            </w:tcBorders>
            <w:vAlign w:val="center"/>
          </w:tcPr>
          <w:p w14:paraId="4092C44A" w14:textId="77777777" w:rsidR="001B4719" w:rsidRPr="00F415BB" w:rsidRDefault="001B4719" w:rsidP="000050AA">
            <w:pPr>
              <w:jc w:val="both"/>
            </w:pPr>
            <w:r w:rsidRPr="00F415BB">
              <w:t>45,5</w:t>
            </w:r>
          </w:p>
        </w:tc>
        <w:tc>
          <w:tcPr>
            <w:tcW w:w="1077" w:type="dxa"/>
            <w:tcBorders>
              <w:left w:val="single" w:sz="12" w:space="0" w:color="auto"/>
              <w:right w:val="single" w:sz="12" w:space="0" w:color="auto"/>
            </w:tcBorders>
            <w:vAlign w:val="center"/>
          </w:tcPr>
          <w:p w14:paraId="59812DB6" w14:textId="77777777" w:rsidR="001B4719" w:rsidRPr="00F415BB" w:rsidRDefault="001B4719" w:rsidP="000050AA">
            <w:pPr>
              <w:jc w:val="both"/>
            </w:pPr>
            <w:r w:rsidRPr="00F415BB">
              <w:t>52,2</w:t>
            </w:r>
          </w:p>
        </w:tc>
        <w:tc>
          <w:tcPr>
            <w:tcW w:w="1077" w:type="dxa"/>
            <w:tcBorders>
              <w:left w:val="single" w:sz="12" w:space="0" w:color="auto"/>
              <w:right w:val="single" w:sz="12" w:space="0" w:color="auto"/>
            </w:tcBorders>
            <w:vAlign w:val="center"/>
          </w:tcPr>
          <w:p w14:paraId="4BC38F5C" w14:textId="77777777" w:rsidR="001B4719" w:rsidRPr="00F415BB" w:rsidRDefault="001B4719" w:rsidP="000050AA">
            <w:pPr>
              <w:jc w:val="both"/>
            </w:pPr>
            <w:r w:rsidRPr="00F415BB">
              <w:t>65,7</w:t>
            </w:r>
          </w:p>
        </w:tc>
        <w:tc>
          <w:tcPr>
            <w:tcW w:w="1077" w:type="dxa"/>
            <w:tcBorders>
              <w:left w:val="single" w:sz="12" w:space="0" w:color="auto"/>
              <w:right w:val="single" w:sz="12" w:space="0" w:color="auto"/>
            </w:tcBorders>
            <w:vAlign w:val="center"/>
          </w:tcPr>
          <w:p w14:paraId="285F9A02" w14:textId="77777777" w:rsidR="001B4719" w:rsidRPr="00F415BB" w:rsidRDefault="001B4719" w:rsidP="000050AA">
            <w:pPr>
              <w:jc w:val="both"/>
            </w:pPr>
            <w:r w:rsidRPr="00F415BB">
              <w:t>72,5</w:t>
            </w:r>
          </w:p>
        </w:tc>
      </w:tr>
      <w:tr w:rsidR="001B4719" w14:paraId="4167DA0E" w14:textId="77777777" w:rsidTr="000050AA">
        <w:trPr>
          <w:trHeight w:val="510"/>
        </w:trPr>
        <w:tc>
          <w:tcPr>
            <w:tcW w:w="1134" w:type="dxa"/>
            <w:vMerge/>
            <w:tcBorders>
              <w:right w:val="single" w:sz="12" w:space="0" w:color="auto"/>
            </w:tcBorders>
            <w:vAlign w:val="center"/>
          </w:tcPr>
          <w:p w14:paraId="0F8EAD04" w14:textId="77777777" w:rsidR="001B4719" w:rsidRPr="00454F3F" w:rsidRDefault="001B4719" w:rsidP="000050AA">
            <w:pPr>
              <w:jc w:val="both"/>
            </w:pPr>
          </w:p>
        </w:tc>
        <w:tc>
          <w:tcPr>
            <w:tcW w:w="2665" w:type="dxa"/>
            <w:tcBorders>
              <w:right w:val="single" w:sz="12" w:space="0" w:color="auto"/>
            </w:tcBorders>
            <w:vAlign w:val="center"/>
          </w:tcPr>
          <w:p w14:paraId="6F902D1F" w14:textId="77777777" w:rsidR="001B4719" w:rsidRPr="0012048A" w:rsidRDefault="001B4719" w:rsidP="000050AA">
            <w:pPr>
              <w:spacing w:before="100" w:beforeAutospacing="1" w:after="100" w:afterAutospacing="1"/>
              <w:jc w:val="both"/>
            </w:pPr>
            <w:r w:rsidRPr="0012048A">
              <w:t>Nákl. nad 3,5t CNG</w:t>
            </w:r>
          </w:p>
        </w:tc>
        <w:tc>
          <w:tcPr>
            <w:tcW w:w="1077" w:type="dxa"/>
            <w:tcBorders>
              <w:left w:val="single" w:sz="12" w:space="0" w:color="auto"/>
              <w:right w:val="single" w:sz="12" w:space="0" w:color="auto"/>
            </w:tcBorders>
            <w:vAlign w:val="center"/>
          </w:tcPr>
          <w:p w14:paraId="091FE0B9" w14:textId="77777777" w:rsidR="001B4719" w:rsidRPr="00F415BB" w:rsidRDefault="001B4719" w:rsidP="000050AA">
            <w:pPr>
              <w:jc w:val="both"/>
            </w:pPr>
            <w:r w:rsidRPr="00F415BB">
              <w:t>6,0</w:t>
            </w:r>
          </w:p>
        </w:tc>
        <w:tc>
          <w:tcPr>
            <w:tcW w:w="1077" w:type="dxa"/>
            <w:tcBorders>
              <w:left w:val="single" w:sz="12" w:space="0" w:color="auto"/>
              <w:right w:val="single" w:sz="12" w:space="0" w:color="auto"/>
            </w:tcBorders>
            <w:vAlign w:val="center"/>
          </w:tcPr>
          <w:p w14:paraId="26FCC065" w14:textId="77777777" w:rsidR="001B4719" w:rsidRPr="00F415BB" w:rsidRDefault="001B4719" w:rsidP="000050AA">
            <w:pPr>
              <w:jc w:val="both"/>
            </w:pPr>
            <w:r w:rsidRPr="00F415BB">
              <w:t>13,0</w:t>
            </w:r>
          </w:p>
        </w:tc>
        <w:tc>
          <w:tcPr>
            <w:tcW w:w="1077" w:type="dxa"/>
            <w:tcBorders>
              <w:left w:val="single" w:sz="12" w:space="0" w:color="auto"/>
              <w:right w:val="single" w:sz="12" w:space="0" w:color="auto"/>
            </w:tcBorders>
            <w:vAlign w:val="center"/>
          </w:tcPr>
          <w:p w14:paraId="496DBC75" w14:textId="77777777" w:rsidR="001B4719" w:rsidRPr="00F415BB" w:rsidRDefault="001B4719" w:rsidP="000050AA">
            <w:pPr>
              <w:jc w:val="both"/>
            </w:pPr>
            <w:r w:rsidRPr="00F415BB">
              <w:t>20,0</w:t>
            </w:r>
          </w:p>
        </w:tc>
        <w:tc>
          <w:tcPr>
            <w:tcW w:w="1077" w:type="dxa"/>
            <w:tcBorders>
              <w:left w:val="single" w:sz="12" w:space="0" w:color="auto"/>
              <w:right w:val="single" w:sz="12" w:space="0" w:color="auto"/>
            </w:tcBorders>
            <w:vAlign w:val="center"/>
          </w:tcPr>
          <w:p w14:paraId="11E39F36" w14:textId="77777777" w:rsidR="001B4719" w:rsidRPr="00F415BB" w:rsidRDefault="001B4719" w:rsidP="000050AA">
            <w:pPr>
              <w:jc w:val="both"/>
            </w:pPr>
            <w:r w:rsidRPr="00F415BB">
              <w:t>23,0</w:t>
            </w:r>
          </w:p>
        </w:tc>
        <w:tc>
          <w:tcPr>
            <w:tcW w:w="1077" w:type="dxa"/>
            <w:tcBorders>
              <w:left w:val="single" w:sz="12" w:space="0" w:color="auto"/>
              <w:right w:val="single" w:sz="12" w:space="0" w:color="auto"/>
            </w:tcBorders>
            <w:vAlign w:val="center"/>
          </w:tcPr>
          <w:p w14:paraId="645F91C3" w14:textId="77777777" w:rsidR="001B4719" w:rsidRPr="00F415BB" w:rsidRDefault="001B4719" w:rsidP="000050AA">
            <w:pPr>
              <w:jc w:val="both"/>
            </w:pPr>
            <w:r w:rsidRPr="00F415BB">
              <w:t>14,0</w:t>
            </w:r>
          </w:p>
        </w:tc>
      </w:tr>
      <w:tr w:rsidR="001B4719" w14:paraId="2BCBED79" w14:textId="77777777" w:rsidTr="000050AA">
        <w:trPr>
          <w:trHeight w:val="510"/>
        </w:trPr>
        <w:tc>
          <w:tcPr>
            <w:tcW w:w="1134" w:type="dxa"/>
            <w:vMerge/>
            <w:tcBorders>
              <w:right w:val="single" w:sz="12" w:space="0" w:color="auto"/>
            </w:tcBorders>
            <w:vAlign w:val="center"/>
          </w:tcPr>
          <w:p w14:paraId="48251A5C" w14:textId="77777777" w:rsidR="001B4719" w:rsidRPr="00454F3F" w:rsidRDefault="001B4719" w:rsidP="000050AA">
            <w:pPr>
              <w:jc w:val="both"/>
            </w:pPr>
          </w:p>
        </w:tc>
        <w:tc>
          <w:tcPr>
            <w:tcW w:w="2665" w:type="dxa"/>
            <w:tcBorders>
              <w:right w:val="single" w:sz="12" w:space="0" w:color="auto"/>
            </w:tcBorders>
            <w:vAlign w:val="center"/>
          </w:tcPr>
          <w:p w14:paraId="52711C01" w14:textId="77777777" w:rsidR="001B4719" w:rsidRDefault="001B4719" w:rsidP="000050AA">
            <w:pPr>
              <w:spacing w:before="100" w:beforeAutospacing="1" w:after="100" w:afterAutospacing="1"/>
              <w:jc w:val="both"/>
            </w:pPr>
            <w:r w:rsidRPr="0012048A">
              <w:t>Nákl. nad 3,5t LNG</w:t>
            </w:r>
          </w:p>
        </w:tc>
        <w:tc>
          <w:tcPr>
            <w:tcW w:w="1077" w:type="dxa"/>
            <w:tcBorders>
              <w:left w:val="single" w:sz="12" w:space="0" w:color="auto"/>
              <w:right w:val="single" w:sz="12" w:space="0" w:color="auto"/>
            </w:tcBorders>
            <w:vAlign w:val="center"/>
          </w:tcPr>
          <w:p w14:paraId="584C315F" w14:textId="77777777" w:rsidR="001B4719" w:rsidRPr="00F415BB" w:rsidRDefault="001B4719" w:rsidP="000050AA">
            <w:pPr>
              <w:jc w:val="both"/>
            </w:pPr>
            <w:r w:rsidRPr="00F415BB">
              <w:t>2,1</w:t>
            </w:r>
          </w:p>
        </w:tc>
        <w:tc>
          <w:tcPr>
            <w:tcW w:w="1077" w:type="dxa"/>
            <w:tcBorders>
              <w:left w:val="single" w:sz="12" w:space="0" w:color="auto"/>
              <w:right w:val="single" w:sz="12" w:space="0" w:color="auto"/>
            </w:tcBorders>
            <w:vAlign w:val="center"/>
          </w:tcPr>
          <w:p w14:paraId="7E0EEFA3" w14:textId="77777777" w:rsidR="001B4719" w:rsidRPr="00F415BB" w:rsidRDefault="001B4719" w:rsidP="000050AA">
            <w:pPr>
              <w:jc w:val="both"/>
            </w:pPr>
            <w:r w:rsidRPr="00F415BB">
              <w:t>59,5</w:t>
            </w:r>
          </w:p>
        </w:tc>
        <w:tc>
          <w:tcPr>
            <w:tcW w:w="1077" w:type="dxa"/>
            <w:tcBorders>
              <w:left w:val="single" w:sz="12" w:space="0" w:color="auto"/>
              <w:right w:val="single" w:sz="12" w:space="0" w:color="auto"/>
            </w:tcBorders>
            <w:vAlign w:val="center"/>
          </w:tcPr>
          <w:p w14:paraId="1E0C3029" w14:textId="77777777" w:rsidR="001B4719" w:rsidRPr="00F415BB" w:rsidRDefault="001B4719" w:rsidP="000050AA">
            <w:pPr>
              <w:jc w:val="both"/>
            </w:pPr>
            <w:r w:rsidRPr="00F415BB">
              <w:t>122,5</w:t>
            </w:r>
          </w:p>
        </w:tc>
        <w:tc>
          <w:tcPr>
            <w:tcW w:w="1077" w:type="dxa"/>
            <w:tcBorders>
              <w:left w:val="single" w:sz="12" w:space="0" w:color="auto"/>
              <w:right w:val="single" w:sz="12" w:space="0" w:color="auto"/>
            </w:tcBorders>
            <w:vAlign w:val="center"/>
          </w:tcPr>
          <w:p w14:paraId="54A056C1" w14:textId="77777777" w:rsidR="001B4719" w:rsidRPr="00F415BB" w:rsidRDefault="001B4719" w:rsidP="000050AA">
            <w:pPr>
              <w:jc w:val="both"/>
            </w:pPr>
            <w:r w:rsidRPr="00F415BB">
              <w:t>122,5</w:t>
            </w:r>
          </w:p>
        </w:tc>
        <w:tc>
          <w:tcPr>
            <w:tcW w:w="1077" w:type="dxa"/>
            <w:tcBorders>
              <w:left w:val="single" w:sz="12" w:space="0" w:color="auto"/>
              <w:right w:val="single" w:sz="12" w:space="0" w:color="auto"/>
            </w:tcBorders>
            <w:vAlign w:val="center"/>
          </w:tcPr>
          <w:p w14:paraId="262D1D5B" w14:textId="77777777" w:rsidR="001B4719" w:rsidRDefault="001B4719" w:rsidP="000050AA">
            <w:pPr>
              <w:jc w:val="both"/>
            </w:pPr>
            <w:r w:rsidRPr="00F415BB">
              <w:t>70,0</w:t>
            </w:r>
          </w:p>
        </w:tc>
      </w:tr>
    </w:tbl>
    <w:p w14:paraId="49620463" w14:textId="77777777" w:rsidR="001B4719" w:rsidRPr="0050685D" w:rsidRDefault="001B4719" w:rsidP="001B4719">
      <w:pPr>
        <w:jc w:val="both"/>
        <w:rPr>
          <w:rFonts w:asciiTheme="majorHAnsi" w:hAnsiTheme="majorHAnsi" w:cstheme="minorHAnsi"/>
        </w:rPr>
      </w:pPr>
      <w:r w:rsidRPr="0050685D">
        <w:t>Zdroj: ČPS</w:t>
      </w:r>
      <w:r w:rsidRPr="0050685D">
        <w:rPr>
          <w:rFonts w:asciiTheme="majorHAnsi" w:hAnsiTheme="majorHAnsi" w:cstheme="minorHAnsi"/>
          <w:i/>
          <w:iCs/>
          <w:sz w:val="20"/>
        </w:rPr>
        <w:br w:type="page"/>
      </w:r>
    </w:p>
    <w:p w14:paraId="504F241A" w14:textId="77777777" w:rsidR="001B4719" w:rsidRPr="0050685D" w:rsidRDefault="001B4719" w:rsidP="001B4719">
      <w:pPr>
        <w:pStyle w:val="Nadpis3"/>
        <w:numPr>
          <w:ilvl w:val="2"/>
          <w:numId w:val="9"/>
        </w:numPr>
        <w:tabs>
          <w:tab w:val="left" w:pos="851"/>
          <w:tab w:val="num" w:pos="2411"/>
        </w:tabs>
        <w:ind w:left="284" w:firstLine="0"/>
        <w:jc w:val="both"/>
      </w:pPr>
      <w:bookmarkStart w:id="408" w:name="_Toc13685890"/>
      <w:bookmarkStart w:id="409" w:name="_Toc13753787"/>
      <w:bookmarkStart w:id="410" w:name="_Toc19792341"/>
      <w:bookmarkStart w:id="411" w:name="_Toc25084485"/>
      <w:bookmarkStart w:id="412" w:name="_Toc25136812"/>
      <w:bookmarkStart w:id="413" w:name="_Toc34295937"/>
      <w:r w:rsidRPr="0050685D">
        <w:lastRenderedPageBreak/>
        <w:t xml:space="preserve">Predikce vývoje užití </w:t>
      </w:r>
      <w:r>
        <w:t>biometan</w:t>
      </w:r>
      <w:r w:rsidRPr="0050685D">
        <w:t>u v</w:t>
      </w:r>
      <w:r w:rsidR="00546698">
        <w:t> </w:t>
      </w:r>
      <w:r w:rsidRPr="0050685D">
        <w:t>dopravě</w:t>
      </w:r>
      <w:bookmarkEnd w:id="408"/>
      <w:bookmarkEnd w:id="409"/>
      <w:bookmarkEnd w:id="410"/>
      <w:bookmarkEnd w:id="411"/>
      <w:bookmarkEnd w:id="412"/>
      <w:bookmarkEnd w:id="413"/>
    </w:p>
    <w:p w14:paraId="0728E6FF" w14:textId="224280CD" w:rsidR="001B4719" w:rsidRPr="0050685D" w:rsidRDefault="001B4719" w:rsidP="001B4719">
      <w:pPr>
        <w:jc w:val="both"/>
      </w:pPr>
      <w:r w:rsidRPr="0050685D">
        <w:t>Evropské cíle v</w:t>
      </w:r>
      <w:r w:rsidR="00546698">
        <w:t> </w:t>
      </w:r>
      <w:r w:rsidRPr="0050685D">
        <w:t>oblasti klimatu a</w:t>
      </w:r>
      <w:r w:rsidR="00546698">
        <w:t> </w:t>
      </w:r>
      <w:r w:rsidRPr="0050685D">
        <w:t>energetiky stále výrazněji cílí i</w:t>
      </w:r>
      <w:r w:rsidR="00546698">
        <w:t> </w:t>
      </w:r>
      <w:r w:rsidRPr="0050685D">
        <w:t>na sektor dopravy, konkrétně na</w:t>
      </w:r>
      <w:r>
        <w:t> </w:t>
      </w:r>
      <w:r w:rsidRPr="0050685D">
        <w:t>snižování emisí CO</w:t>
      </w:r>
      <w:r w:rsidRPr="0050685D">
        <w:rPr>
          <w:vertAlign w:val="subscript"/>
        </w:rPr>
        <w:t>2</w:t>
      </w:r>
      <w:r w:rsidRPr="0050685D">
        <w:t xml:space="preserve"> a</w:t>
      </w:r>
      <w:r w:rsidR="00546698">
        <w:t> </w:t>
      </w:r>
      <w:r w:rsidRPr="0050685D">
        <w:t>zvyšování podílu obnovitelných zdrojů energie. V</w:t>
      </w:r>
      <w:r w:rsidR="00546698">
        <w:t> </w:t>
      </w:r>
      <w:r w:rsidRPr="0050685D">
        <w:t>případě snížení emisí CO</w:t>
      </w:r>
      <w:r w:rsidRPr="0050685D">
        <w:rPr>
          <w:vertAlign w:val="subscript"/>
        </w:rPr>
        <w:t>2</w:t>
      </w:r>
      <w:r w:rsidRPr="0050685D">
        <w:t xml:space="preserve"> v</w:t>
      </w:r>
      <w:r w:rsidR="00546698">
        <w:t> </w:t>
      </w:r>
      <w:r w:rsidRPr="0050685D">
        <w:t>sektoru dopravy může klasické CNG vykázat jen velmi omezené přínosy (cca snížení o</w:t>
      </w:r>
      <w:r w:rsidR="00546698">
        <w:t> </w:t>
      </w:r>
      <w:r w:rsidRPr="0050685D">
        <w:t>20</w:t>
      </w:r>
      <w:r>
        <w:t> </w:t>
      </w:r>
      <w:r w:rsidRPr="0050685D">
        <w:t>%). I</w:t>
      </w:r>
      <w:r w:rsidR="00546698">
        <w:t> </w:t>
      </w:r>
      <w:r w:rsidRPr="0050685D">
        <w:t>z</w:t>
      </w:r>
      <w:r>
        <w:t> </w:t>
      </w:r>
      <w:r w:rsidRPr="0050685D">
        <w:t>toho důvodu Evropská komise konstatuje, že „</w:t>
      </w:r>
      <w:r w:rsidRPr="0050685D">
        <w:rPr>
          <w:i/>
        </w:rPr>
        <w:t xml:space="preserve">ve vozidlech na zemní plyn by se mělo více využívat přimíchávání udržitelného </w:t>
      </w:r>
      <w:r>
        <w:rPr>
          <w:i/>
        </w:rPr>
        <w:t>biometan</w:t>
      </w:r>
      <w:r w:rsidRPr="0050685D">
        <w:rPr>
          <w:i/>
        </w:rPr>
        <w:t xml:space="preserve">u do zemního plynu nebo nahrazování zemního plynu </w:t>
      </w:r>
      <w:r>
        <w:rPr>
          <w:i/>
        </w:rPr>
        <w:t>biometan</w:t>
      </w:r>
      <w:r w:rsidRPr="0050685D">
        <w:rPr>
          <w:i/>
        </w:rPr>
        <w:t>em</w:t>
      </w:r>
      <w:r w:rsidRPr="0050685D">
        <w:t xml:space="preserve">“. Cílem širšího využití </w:t>
      </w:r>
      <w:r>
        <w:t>biometan</w:t>
      </w:r>
      <w:r w:rsidRPr="0050685D">
        <w:t>u v</w:t>
      </w:r>
      <w:r w:rsidR="00546698">
        <w:t> </w:t>
      </w:r>
      <w:r w:rsidRPr="0050685D">
        <w:t xml:space="preserve">dopravě by tak mělo být zajištění plnění cílů minimálního podílu obnovitelných zdrojů energie (dále jen </w:t>
      </w:r>
      <w:r w:rsidRPr="0050685D">
        <w:rPr>
          <w:i/>
        </w:rPr>
        <w:t>OZE</w:t>
      </w:r>
      <w:r w:rsidRPr="0050685D">
        <w:t>) a</w:t>
      </w:r>
      <w:r w:rsidR="00546698">
        <w:t> </w:t>
      </w:r>
      <w:r w:rsidRPr="0050685D">
        <w:t>snižování emisí CO</w:t>
      </w:r>
      <w:r w:rsidRPr="0050685D">
        <w:rPr>
          <w:vertAlign w:val="subscript"/>
        </w:rPr>
        <w:t>2</w:t>
      </w:r>
      <w:r w:rsidRPr="0050685D">
        <w:t xml:space="preserve"> v</w:t>
      </w:r>
      <w:r w:rsidR="00546698">
        <w:t> </w:t>
      </w:r>
      <w:r w:rsidRPr="0050685D">
        <w:t>dopravě. Těmto cílům odpovídá i</w:t>
      </w:r>
      <w:r w:rsidR="00546698">
        <w:t> </w:t>
      </w:r>
      <w:r w:rsidRPr="0050685D">
        <w:t>nedávno revidovaná směrnice </w:t>
      </w:r>
      <w:r>
        <w:t>2009/33/ES o</w:t>
      </w:r>
      <w:r w:rsidR="00546698">
        <w:t> </w:t>
      </w:r>
      <w:r>
        <w:t>čistých vozidlech</w:t>
      </w:r>
      <w:r w:rsidRPr="0050685D">
        <w:t>, která sice pro segment čistých autobusů na jednu stranu počítá s</w:t>
      </w:r>
      <w:r w:rsidR="00546698">
        <w:t> </w:t>
      </w:r>
      <w:r w:rsidRPr="0050685D">
        <w:t>tím, že sem spadají i</w:t>
      </w:r>
      <w:r w:rsidR="00546698">
        <w:t> </w:t>
      </w:r>
      <w:r w:rsidRPr="0050685D">
        <w:t>autobusy na CNG, zároveň však obsahuje omezení pro veřejné zadavatele, že</w:t>
      </w:r>
      <w:r>
        <w:t> </w:t>
      </w:r>
      <w:r w:rsidRPr="0050685D">
        <w:t>mohou do budoucna od roku 2021 prostřednictvím CNG autobusů naplnit jen 50 % příslušné národní kvóty pro veřejné zadavatele (</w:t>
      </w:r>
      <w:r>
        <w:t xml:space="preserve">kvóta </w:t>
      </w:r>
      <w:r w:rsidRPr="0050685D">
        <w:t>pro ČR 4</w:t>
      </w:r>
      <w:r w:rsidR="00CA2F24">
        <w:t>1</w:t>
      </w:r>
      <w:r w:rsidRPr="0050685D">
        <w:t xml:space="preserve"> % do konce roku 2025 a</w:t>
      </w:r>
      <w:r w:rsidR="00546698">
        <w:t> </w:t>
      </w:r>
      <w:r w:rsidR="00CA2F24">
        <w:t>6</w:t>
      </w:r>
      <w:r w:rsidRPr="0050685D">
        <w:t>0 % od 2026 do</w:t>
      </w:r>
      <w:r>
        <w:t> </w:t>
      </w:r>
      <w:r w:rsidRPr="0050685D">
        <w:t>2030 z</w:t>
      </w:r>
      <w:r w:rsidR="00546698">
        <w:t> </w:t>
      </w:r>
      <w:r w:rsidRPr="0050685D">
        <w:t>veškerých veřejných zakázek v</w:t>
      </w:r>
      <w:r w:rsidR="00546698">
        <w:t> </w:t>
      </w:r>
      <w:r w:rsidRPr="0050685D">
        <w:t>této oblasti). Jde tedy o</w:t>
      </w:r>
      <w:r w:rsidR="00546698">
        <w:t> </w:t>
      </w:r>
      <w:r w:rsidRPr="0050685D">
        <w:t>jasný příklad, že klasické CNG již není považováno ze strany Evropské komise za stejně „hodnotné“ alternativní palivo, jako</w:t>
      </w:r>
      <w:r>
        <w:t> </w:t>
      </w:r>
      <w:r w:rsidRPr="0050685D">
        <w:t xml:space="preserve">třeba elektřina či vodík. </w:t>
      </w:r>
    </w:p>
    <w:p w14:paraId="4732672E" w14:textId="77777777" w:rsidR="001B4719" w:rsidRPr="0050685D" w:rsidRDefault="001B4719" w:rsidP="001B4719">
      <w:pPr>
        <w:jc w:val="both"/>
      </w:pPr>
      <w:r w:rsidRPr="0050685D">
        <w:t xml:space="preserve">Dalším evropským právním předpisem, který vyžaduje zavádění </w:t>
      </w:r>
      <w:r>
        <w:t>biometan</w:t>
      </w:r>
      <w:r w:rsidRPr="0050685D">
        <w:t>u do dopravy je směrnice Evropského parlamentu a</w:t>
      </w:r>
      <w:r w:rsidR="00546698">
        <w:t> </w:t>
      </w:r>
      <w:r w:rsidRPr="0050685D">
        <w:t>Rady (EU) 2018/2001 o</w:t>
      </w:r>
      <w:r w:rsidR="00546698">
        <w:t> </w:t>
      </w:r>
      <w:r w:rsidRPr="0050685D">
        <w:t>podpoře využívání energie z</w:t>
      </w:r>
      <w:r w:rsidR="00546698">
        <w:t> </w:t>
      </w:r>
      <w:r w:rsidRPr="0050685D">
        <w:t>obnovitelných zdrojů (dále jen směrnice 2018/2001), která stanovuje závazný sektorový cíl pro dopravu. Členské státy mají povinnost prostřednictvím dodavatelů paliv zajistit min. podíl 14 % energie z</w:t>
      </w:r>
      <w:r w:rsidR="00546698">
        <w:t> </w:t>
      </w:r>
      <w:r w:rsidRPr="0050685D">
        <w:t>OZE v</w:t>
      </w:r>
      <w:r w:rsidR="00546698">
        <w:t> </w:t>
      </w:r>
      <w:r w:rsidRPr="0050685D">
        <w:t>dopravě. Tohoto podílů může být dosaženo prostřednictvím biopaliv 1.</w:t>
      </w:r>
      <w:r>
        <w:t> </w:t>
      </w:r>
      <w:r w:rsidRPr="0050685D">
        <w:t>a</w:t>
      </w:r>
      <w:r w:rsidR="00546698">
        <w:t> </w:t>
      </w:r>
      <w:r w:rsidRPr="0050685D">
        <w:t>2. generace. Následně směrnice 2018/2001 stanoví Evropské komisi povinnost posoudit 14 % podíl energie z</w:t>
      </w:r>
      <w:r w:rsidR="00546698">
        <w:t> </w:t>
      </w:r>
      <w:r w:rsidRPr="0050685D">
        <w:t>OZE a</w:t>
      </w:r>
      <w:r w:rsidR="00546698">
        <w:t> </w:t>
      </w:r>
      <w:r w:rsidRPr="0050685D">
        <w:t xml:space="preserve">předložit do roku 2023 legislativní návrh na její zpřísnění, pokud: </w:t>
      </w:r>
    </w:p>
    <w:p w14:paraId="73AD1F6F" w14:textId="77777777" w:rsidR="001B4719" w:rsidRPr="0050685D" w:rsidRDefault="001B4719" w:rsidP="001B4719">
      <w:pPr>
        <w:pStyle w:val="Odrkyabc"/>
        <w:numPr>
          <w:ilvl w:val="0"/>
          <w:numId w:val="31"/>
        </w:numPr>
        <w:jc w:val="both"/>
      </w:pPr>
      <w:r w:rsidRPr="0050685D">
        <w:t>budou náklady na výrobu energie z</w:t>
      </w:r>
      <w:r w:rsidR="00546698">
        <w:t> </w:t>
      </w:r>
      <w:r w:rsidRPr="0050685D">
        <w:t xml:space="preserve">OZE významně sníženy, </w:t>
      </w:r>
    </w:p>
    <w:p w14:paraId="539BC95A" w14:textId="77777777" w:rsidR="001B4719" w:rsidRPr="0050685D" w:rsidRDefault="001B4719" w:rsidP="001B4719">
      <w:pPr>
        <w:pStyle w:val="Odrkyabc"/>
        <w:numPr>
          <w:ilvl w:val="0"/>
          <w:numId w:val="12"/>
        </w:numPr>
        <w:jc w:val="both"/>
      </w:pPr>
      <w:r w:rsidRPr="0050685D">
        <w:t xml:space="preserve">bude-li potřeba plnit mezinárodní závazky EU ohledně dekarbonizace, </w:t>
      </w:r>
    </w:p>
    <w:p w14:paraId="1A886E6B" w14:textId="77777777" w:rsidR="001B4719" w:rsidRPr="0050685D" w:rsidRDefault="001B4719" w:rsidP="001B4719">
      <w:pPr>
        <w:pStyle w:val="Odrkyabc"/>
        <w:numPr>
          <w:ilvl w:val="0"/>
          <w:numId w:val="12"/>
        </w:numPr>
        <w:jc w:val="both"/>
      </w:pPr>
      <w:r w:rsidRPr="0050685D">
        <w:t>bude-li významné snížení spotřeby energie v</w:t>
      </w:r>
      <w:r w:rsidR="00546698">
        <w:t> </w:t>
      </w:r>
      <w:r w:rsidRPr="0050685D">
        <w:t xml:space="preserve">EU. </w:t>
      </w:r>
    </w:p>
    <w:p w14:paraId="7F00C7D9" w14:textId="77777777" w:rsidR="001B4719" w:rsidRPr="0050685D" w:rsidRDefault="001B4719" w:rsidP="001B4719">
      <w:pPr>
        <w:jc w:val="both"/>
      </w:pPr>
      <w:r w:rsidRPr="0050685D">
        <w:t>Na národní úrovni se otázce naplnění požadavků v</w:t>
      </w:r>
      <w:r w:rsidR="00546698">
        <w:t> </w:t>
      </w:r>
      <w:r w:rsidRPr="0050685D">
        <w:t>oblasti sektorového cíle pro dopravu v</w:t>
      </w:r>
      <w:r w:rsidR="00546698">
        <w:t> </w:t>
      </w:r>
      <w:r w:rsidRPr="0050685D">
        <w:t>období 2021 – 2030 věnuje Vnitrostátní plán</w:t>
      </w:r>
      <w:r w:rsidRPr="0050685D">
        <w:rPr>
          <w:rStyle w:val="Znakapoznpodarou"/>
          <w:rFonts w:asciiTheme="majorHAnsi" w:hAnsiTheme="majorHAnsi" w:cstheme="minorHAnsi"/>
        </w:rPr>
        <w:footnoteReference w:id="14"/>
      </w:r>
      <w:r w:rsidRPr="0050685D">
        <w:t xml:space="preserve"> ČR pro oblast energetiky a</w:t>
      </w:r>
      <w:r w:rsidR="00546698">
        <w:t> </w:t>
      </w:r>
      <w:r w:rsidRPr="0050685D">
        <w:t>klimatu (dále jen vnitrostátní plán). Jak přitom vyplývá z</w:t>
      </w:r>
      <w:r w:rsidR="00546698">
        <w:t> </w:t>
      </w:r>
      <w:r w:rsidRPr="0050685D">
        <w:t xml:space="preserve">vnitrostátního plánu, ČR nebude schopna tento sektorový cíl dosáhnout, pokud se nezačne věnovat problematice využívání </w:t>
      </w:r>
      <w:r>
        <w:t>biometan</w:t>
      </w:r>
      <w:r w:rsidRPr="0050685D">
        <w:t>u v</w:t>
      </w:r>
      <w:r w:rsidR="00546698">
        <w:t> </w:t>
      </w:r>
      <w:r w:rsidRPr="0050685D">
        <w:t xml:space="preserve">dopravě (jako částečné náhradě CNG). </w:t>
      </w:r>
    </w:p>
    <w:p w14:paraId="5BFFCCE3" w14:textId="77777777" w:rsidR="001B4719" w:rsidRPr="0050685D" w:rsidRDefault="001B4719" w:rsidP="001B4719">
      <w:pPr>
        <w:pStyle w:val="Nadpis4"/>
        <w:numPr>
          <w:ilvl w:val="3"/>
          <w:numId w:val="9"/>
        </w:numPr>
        <w:jc w:val="both"/>
      </w:pPr>
      <w:bookmarkStart w:id="414" w:name="_Toc13685891"/>
      <w:bookmarkStart w:id="415" w:name="_Toc13753788"/>
      <w:bookmarkStart w:id="416" w:name="_Toc19792342"/>
      <w:bookmarkStart w:id="417" w:name="_Toc25136813"/>
      <w:bookmarkStart w:id="418" w:name="_Toc34295938"/>
      <w:r w:rsidRPr="00BA62E0">
        <w:t>Pokročilý</w:t>
      </w:r>
      <w:r w:rsidRPr="00F34084">
        <w:t xml:space="preserve"> </w:t>
      </w:r>
      <w:r>
        <w:t>biometan</w:t>
      </w:r>
      <w:r w:rsidRPr="00F34084">
        <w:t xml:space="preserve"> jako nezbytné alternativní palivo</w:t>
      </w:r>
      <w:bookmarkEnd w:id="414"/>
      <w:bookmarkEnd w:id="415"/>
      <w:bookmarkEnd w:id="416"/>
      <w:bookmarkEnd w:id="417"/>
      <w:bookmarkEnd w:id="418"/>
    </w:p>
    <w:p w14:paraId="7F640072" w14:textId="6C540BF1" w:rsidR="001B4719" w:rsidRPr="0050685D" w:rsidRDefault="001B4719" w:rsidP="001B4719">
      <w:pPr>
        <w:jc w:val="both"/>
      </w:pPr>
      <w:r>
        <w:rPr>
          <w:bCs/>
        </w:rPr>
        <w:t>Biometan</w:t>
      </w:r>
      <w:r w:rsidRPr="0050685D">
        <w:rPr>
          <w:bCs/>
        </w:rPr>
        <w:t xml:space="preserve"> je plyn vyrobený úpravou bioplynu z</w:t>
      </w:r>
      <w:r w:rsidR="00546698">
        <w:rPr>
          <w:bCs/>
        </w:rPr>
        <w:t> </w:t>
      </w:r>
      <w:r w:rsidRPr="0050685D">
        <w:rPr>
          <w:bCs/>
        </w:rPr>
        <w:t>biologicky rozložitelných surovin</w:t>
      </w:r>
      <w:r w:rsidRPr="0050685D">
        <w:t>, které jsou buď odpadními látkami či vedlejšími produkty výroby (biologicky rozložitelné komunální odpady, zbytky z</w:t>
      </w:r>
      <w:r w:rsidR="00546698">
        <w:t> </w:t>
      </w:r>
      <w:r w:rsidRPr="0050685D">
        <w:t>restaurací, odpady z</w:t>
      </w:r>
      <w:r w:rsidR="00546698">
        <w:t> </w:t>
      </w:r>
      <w:r w:rsidRPr="0050685D">
        <w:t>potravinářského průmyslu, chlévská mrva apod.) nebo</w:t>
      </w:r>
      <w:r>
        <w:t> </w:t>
      </w:r>
      <w:r w:rsidRPr="0050685D">
        <w:t>jsou pro účel výroby bioplynu cíleně pěstované jako energetické plodiny (např. kukuřice, travní senáž apod.).</w:t>
      </w:r>
      <w:r w:rsidR="00B0291C">
        <w:t xml:space="preserve"> Prvně zmíněný by měl mít prioritu včetně podpory před výrobou bioplynu z cíleně pro tento účel pěstovaných plodin.</w:t>
      </w:r>
      <w:r w:rsidRPr="0050685D">
        <w:t xml:space="preserve"> Bioplyn je směs především </w:t>
      </w:r>
      <w:r>
        <w:t>metan</w:t>
      </w:r>
      <w:r w:rsidRPr="0050685D">
        <w:t>u (asi z 60 %) a</w:t>
      </w:r>
      <w:r w:rsidR="00546698">
        <w:t> </w:t>
      </w:r>
      <w:r w:rsidRPr="0050685D">
        <w:t>CO</w:t>
      </w:r>
      <w:r w:rsidRPr="0050685D">
        <w:rPr>
          <w:vertAlign w:val="subscript"/>
        </w:rPr>
        <w:t>2</w:t>
      </w:r>
      <w:r w:rsidRPr="0050685D">
        <w:t xml:space="preserve"> (asi ze 40 %). </w:t>
      </w:r>
      <w:r w:rsidR="00872FC3">
        <w:t>Met</w:t>
      </w:r>
      <w:r>
        <w:t>an</w:t>
      </w:r>
      <w:r w:rsidRPr="0050685D">
        <w:t xml:space="preserve"> v</w:t>
      </w:r>
      <w:r w:rsidR="00546698">
        <w:t> </w:t>
      </w:r>
      <w:r w:rsidRPr="0050685D">
        <w:t xml:space="preserve">bioplynu je označován za </w:t>
      </w:r>
      <w:r>
        <w:t>biometan</w:t>
      </w:r>
      <w:r w:rsidRPr="0050685D">
        <w:t>, jedná se o</w:t>
      </w:r>
      <w:r w:rsidR="00546698">
        <w:t> </w:t>
      </w:r>
      <w:r w:rsidRPr="0050685D">
        <w:t>identický plyn se zemním plynem a</w:t>
      </w:r>
      <w:r w:rsidR="00546698">
        <w:t> </w:t>
      </w:r>
      <w:r w:rsidRPr="0050685D">
        <w:t xml:space="preserve">označení „bio“ odkazuje na jeho původ. </w:t>
      </w:r>
      <w:r>
        <w:rPr>
          <w:b/>
          <w:bCs/>
        </w:rPr>
        <w:t>Biometan</w:t>
      </w:r>
      <w:r w:rsidRPr="0050685D">
        <w:rPr>
          <w:b/>
          <w:bCs/>
        </w:rPr>
        <w:t xml:space="preserve"> stlačený na tlak 200 bar (bioCNG) je pak obnovitelným palivem srovnatelným se stlačeným zemním plynem (CNG).</w:t>
      </w:r>
      <w:r w:rsidRPr="0050685D">
        <w:t xml:space="preserve"> </w:t>
      </w:r>
      <w:r>
        <w:t>Biometan</w:t>
      </w:r>
      <w:r w:rsidRPr="0050685D">
        <w:t xml:space="preserve"> s</w:t>
      </w:r>
      <w:r w:rsidR="00546698">
        <w:t> </w:t>
      </w:r>
      <w:r w:rsidRPr="0050685D">
        <w:t xml:space="preserve">obsahem až 96-98 % </w:t>
      </w:r>
      <w:r w:rsidR="00872FC3">
        <w:t>met</w:t>
      </w:r>
      <w:r>
        <w:t>an</w:t>
      </w:r>
      <w:r w:rsidRPr="0050685D">
        <w:t>u lze (dle příslušných technických předpisů /např. dodržení Woobeho čísla/) přimíchávat v</w:t>
      </w:r>
      <w:r w:rsidR="00546698">
        <w:t> </w:t>
      </w:r>
      <w:r w:rsidRPr="0050685D">
        <w:t>různém množství do zemního plynu a</w:t>
      </w:r>
      <w:r w:rsidR="00546698">
        <w:t> </w:t>
      </w:r>
      <w:r w:rsidRPr="0050685D">
        <w:t>takto získaný mix přímo použít jako „</w:t>
      </w:r>
      <w:r w:rsidRPr="0050685D">
        <w:rPr>
          <w:i/>
        </w:rPr>
        <w:t>čisté</w:t>
      </w:r>
      <w:r w:rsidRPr="0050685D">
        <w:t>“ palivo ke spalování v</w:t>
      </w:r>
      <w:r w:rsidR="00546698">
        <w:t> </w:t>
      </w:r>
      <w:r w:rsidRPr="0050685D">
        <w:t>motorech vozidel. V</w:t>
      </w:r>
      <w:r w:rsidR="00546698">
        <w:t> </w:t>
      </w:r>
      <w:r w:rsidRPr="0050685D">
        <w:t xml:space="preserve">Evropě je evidováno (červen 2019) 475 plnicích stanic, které nabízejí 100% </w:t>
      </w:r>
      <w:r>
        <w:t>biometan</w:t>
      </w:r>
      <w:r w:rsidRPr="0050685D">
        <w:t>, přitom jen v</w:t>
      </w:r>
      <w:r w:rsidR="00546698">
        <w:t> </w:t>
      </w:r>
      <w:r w:rsidRPr="0050685D">
        <w:t>Německu je jich 44.</w:t>
      </w:r>
    </w:p>
    <w:p w14:paraId="3A720967" w14:textId="77777777" w:rsidR="001B4719" w:rsidRPr="0050685D" w:rsidRDefault="001B4719" w:rsidP="001B4719">
      <w:pPr>
        <w:pStyle w:val="Nadpis4"/>
        <w:numPr>
          <w:ilvl w:val="3"/>
          <w:numId w:val="9"/>
        </w:numPr>
        <w:jc w:val="both"/>
      </w:pPr>
      <w:bookmarkStart w:id="419" w:name="_Toc13685892"/>
      <w:bookmarkStart w:id="420" w:name="_Toc13753789"/>
      <w:bookmarkStart w:id="421" w:name="_Toc19792343"/>
      <w:bookmarkStart w:id="422" w:name="_Toc25136814"/>
      <w:bookmarkStart w:id="423" w:name="_Toc34295939"/>
      <w:r w:rsidRPr="0050685D">
        <w:lastRenderedPageBreak/>
        <w:t xml:space="preserve">Potenciál výroby pokročilého </w:t>
      </w:r>
      <w:r>
        <w:t>biometan</w:t>
      </w:r>
      <w:r w:rsidRPr="0050685D">
        <w:t>u v</w:t>
      </w:r>
      <w:r w:rsidR="00546698">
        <w:t> </w:t>
      </w:r>
      <w:r w:rsidRPr="0050685D">
        <w:t>ČR</w:t>
      </w:r>
      <w:bookmarkEnd w:id="419"/>
      <w:bookmarkEnd w:id="420"/>
      <w:bookmarkEnd w:id="421"/>
      <w:bookmarkEnd w:id="422"/>
      <w:bookmarkEnd w:id="423"/>
    </w:p>
    <w:p w14:paraId="43DF9527" w14:textId="77777777" w:rsidR="001B4719" w:rsidRPr="00255A20" w:rsidRDefault="001B4719" w:rsidP="001B4719">
      <w:pPr>
        <w:jc w:val="both"/>
        <w:rPr>
          <w:b/>
        </w:rPr>
      </w:pPr>
      <w:r w:rsidRPr="00255A20">
        <w:rPr>
          <w:b/>
        </w:rPr>
        <w:t>Česká republika je vázána cíli plnění podílu OZE v</w:t>
      </w:r>
      <w:r w:rsidR="00546698">
        <w:rPr>
          <w:b/>
        </w:rPr>
        <w:t> </w:t>
      </w:r>
      <w:r w:rsidRPr="00255A20">
        <w:rPr>
          <w:b/>
        </w:rPr>
        <w:t>dopravě. Významný potenciál částečné náhrady zemního plynu (CNG) lze spatřovat ve formě pokročilého biometanu (bioCNG). Dle současných analýz</w:t>
      </w:r>
      <w:r w:rsidRPr="0093375D">
        <w:rPr>
          <w:rStyle w:val="Znakapoznpodarou"/>
          <w:b/>
          <w:bCs/>
          <w:szCs w:val="22"/>
        </w:rPr>
        <w:footnoteReference w:id="15"/>
      </w:r>
      <w:r w:rsidRPr="00255A20">
        <w:rPr>
          <w:b/>
        </w:rPr>
        <w:t xml:space="preserve"> je pokročilý biometan zcela zásadním zdrojem energie, bez jehož využití nelze daných cílů dosáhnout. </w:t>
      </w:r>
    </w:p>
    <w:p w14:paraId="7369BFBF" w14:textId="77777777" w:rsidR="001B4719" w:rsidRPr="00BA62E0" w:rsidRDefault="001B4719" w:rsidP="001B4719">
      <w:pPr>
        <w:jc w:val="both"/>
      </w:pPr>
      <w:r>
        <w:t>Biometan</w:t>
      </w:r>
      <w:r w:rsidRPr="00BA62E0">
        <w:t xml:space="preserve"> lze do segmentu dopravy dostat na první pohled nejjednodušším způsobem prodejem na místě výroby bioplynu. To však zásadně naráží v</w:t>
      </w:r>
      <w:r w:rsidR="00546698">
        <w:t> </w:t>
      </w:r>
      <w:r w:rsidRPr="00BA62E0">
        <w:t>případě CNG na lokální poptávku v</w:t>
      </w:r>
      <w:r w:rsidR="00546698">
        <w:t> </w:t>
      </w:r>
      <w:r w:rsidRPr="00BA62E0">
        <w:t>místě bioplynové stanice (podobně jako je tomu u</w:t>
      </w:r>
      <w:r w:rsidR="00546698">
        <w:t> </w:t>
      </w:r>
      <w:r w:rsidRPr="00BA62E0">
        <w:t>využití tepla), u</w:t>
      </w:r>
      <w:r w:rsidR="00546698">
        <w:t> </w:t>
      </w:r>
      <w:r w:rsidRPr="00BA62E0">
        <w:t xml:space="preserve">LNG na kapacitu bioplynových stanic, které byly historicky podporovány pouze jako malé instalace (zkapalňování </w:t>
      </w:r>
      <w:r>
        <w:t>biometan</w:t>
      </w:r>
      <w:r w:rsidRPr="00BA62E0">
        <w:t>u je totiž technologicky náročný proces, který se vyplatí jen u</w:t>
      </w:r>
      <w:r w:rsidR="00546698">
        <w:t> </w:t>
      </w:r>
      <w:r w:rsidRPr="00BA62E0">
        <w:t>provozoven s</w:t>
      </w:r>
      <w:r w:rsidR="00546698">
        <w:t> </w:t>
      </w:r>
      <w:r w:rsidRPr="00BA62E0">
        <w:t xml:space="preserve">velkou produkcí </w:t>
      </w:r>
      <w:r>
        <w:t>biometan</w:t>
      </w:r>
      <w:r w:rsidRPr="00BA62E0">
        <w:t>u). Otázka kontroly kvality a</w:t>
      </w:r>
      <w:r w:rsidR="00546698">
        <w:t> </w:t>
      </w:r>
      <w:r w:rsidRPr="00BA62E0">
        <w:t>objemového měření musí být řešena v</w:t>
      </w:r>
      <w:r w:rsidR="00546698">
        <w:t> </w:t>
      </w:r>
      <w:r w:rsidRPr="00BA62E0">
        <w:t>energetické legislativě (plnicí stanice CNG bude s</w:t>
      </w:r>
      <w:r w:rsidR="00546698">
        <w:t> </w:t>
      </w:r>
      <w:r w:rsidRPr="00BA62E0">
        <w:t xml:space="preserve">výrobnou </w:t>
      </w:r>
      <w:r>
        <w:t>biometan</w:t>
      </w:r>
      <w:r w:rsidRPr="00BA62E0">
        <w:t>u spojena plynovodem a</w:t>
      </w:r>
      <w:r w:rsidR="00546698">
        <w:t> </w:t>
      </w:r>
      <w:r w:rsidRPr="00BA62E0">
        <w:t>výrobce musí splnit stejné požadavky na kvalitu, měření, regulaci a</w:t>
      </w:r>
      <w:r w:rsidR="00546698">
        <w:t> </w:t>
      </w:r>
      <w:r w:rsidRPr="00BA62E0">
        <w:t xml:space="preserve">přenos dat, jako kdyby byla výrobna připojena do distribuční soustavy). </w:t>
      </w:r>
    </w:p>
    <w:p w14:paraId="3AEE06A3" w14:textId="77777777" w:rsidR="001B4719" w:rsidRPr="00BA62E0" w:rsidRDefault="001B4719" w:rsidP="001B4719">
      <w:pPr>
        <w:jc w:val="both"/>
        <w:rPr>
          <w:rFonts w:cs="Arial"/>
          <w:color w:val="000000"/>
        </w:rPr>
      </w:pPr>
      <w:r w:rsidRPr="00BA62E0">
        <w:rPr>
          <w:rFonts w:cs="Arial"/>
          <w:b/>
          <w:bCs/>
          <w:color w:val="000000"/>
        </w:rPr>
        <w:t xml:space="preserve">Celkový možný využitelný potenciál </w:t>
      </w:r>
      <w:r>
        <w:rPr>
          <w:rFonts w:cs="Arial"/>
          <w:b/>
          <w:bCs/>
          <w:color w:val="000000"/>
        </w:rPr>
        <w:t>biometan</w:t>
      </w:r>
      <w:r w:rsidRPr="00BA62E0">
        <w:rPr>
          <w:rFonts w:cs="Arial"/>
          <w:b/>
          <w:bCs/>
          <w:color w:val="000000"/>
        </w:rPr>
        <w:t>u do roku 2030 je dále potřeba složit ze dvou částí, a</w:t>
      </w:r>
      <w:r w:rsidR="00546698">
        <w:rPr>
          <w:rFonts w:cs="Arial"/>
          <w:b/>
          <w:bCs/>
          <w:color w:val="000000"/>
        </w:rPr>
        <w:t> </w:t>
      </w:r>
      <w:r w:rsidRPr="00BA62E0">
        <w:rPr>
          <w:rFonts w:cs="Arial"/>
          <w:b/>
          <w:bCs/>
          <w:color w:val="000000"/>
        </w:rPr>
        <w:t>to potenciál ve výrobnách elektřiny využívající surový bioplyn, které jsou dnes v</w:t>
      </w:r>
      <w:r w:rsidR="00546698">
        <w:rPr>
          <w:rFonts w:cs="Arial"/>
          <w:b/>
          <w:bCs/>
          <w:color w:val="000000"/>
        </w:rPr>
        <w:t> </w:t>
      </w:r>
      <w:r w:rsidRPr="00BA62E0">
        <w:rPr>
          <w:rFonts w:cs="Arial"/>
          <w:b/>
          <w:bCs/>
          <w:color w:val="000000"/>
        </w:rPr>
        <w:t>provozu, a</w:t>
      </w:r>
      <w:r w:rsidR="00546698">
        <w:rPr>
          <w:rFonts w:cs="Arial"/>
          <w:b/>
          <w:bCs/>
          <w:color w:val="000000"/>
        </w:rPr>
        <w:t> </w:t>
      </w:r>
      <w:r w:rsidRPr="00BA62E0">
        <w:rPr>
          <w:rFonts w:cs="Arial"/>
          <w:b/>
          <w:bCs/>
          <w:color w:val="000000"/>
        </w:rPr>
        <w:t>potenciál v</w:t>
      </w:r>
      <w:r w:rsidR="00546698">
        <w:rPr>
          <w:rFonts w:cs="Arial"/>
          <w:b/>
          <w:bCs/>
          <w:color w:val="000000"/>
        </w:rPr>
        <w:t> </w:t>
      </w:r>
      <w:r w:rsidRPr="00BA62E0">
        <w:rPr>
          <w:rFonts w:cs="Arial"/>
          <w:b/>
          <w:bCs/>
          <w:color w:val="000000"/>
        </w:rPr>
        <w:t xml:space="preserve">nových </w:t>
      </w:r>
      <w:r>
        <w:rPr>
          <w:rFonts w:cs="Arial"/>
          <w:b/>
          <w:bCs/>
          <w:color w:val="000000"/>
        </w:rPr>
        <w:t>biometan</w:t>
      </w:r>
      <w:r w:rsidRPr="00BA62E0">
        <w:rPr>
          <w:rFonts w:cs="Arial"/>
          <w:b/>
          <w:bCs/>
          <w:color w:val="000000"/>
        </w:rPr>
        <w:t>ových výrobnách.</w:t>
      </w:r>
      <w:r w:rsidRPr="00BA62E0">
        <w:rPr>
          <w:rFonts w:cs="Arial"/>
          <w:color w:val="000000"/>
        </w:rPr>
        <w:t xml:space="preserve"> </w:t>
      </w:r>
    </w:p>
    <w:p w14:paraId="5881659E" w14:textId="77777777" w:rsidR="001B4719" w:rsidRPr="00BA62E0" w:rsidRDefault="001B4719" w:rsidP="001B4719">
      <w:pPr>
        <w:pStyle w:val="Default"/>
        <w:spacing w:line="276" w:lineRule="auto"/>
        <w:jc w:val="both"/>
        <w:rPr>
          <w:sz w:val="22"/>
          <w:szCs w:val="22"/>
        </w:rPr>
      </w:pPr>
      <w:r w:rsidRPr="00BA62E0">
        <w:rPr>
          <w:sz w:val="22"/>
          <w:szCs w:val="22"/>
        </w:rPr>
        <w:t>Naprostá většina v</w:t>
      </w:r>
      <w:r w:rsidR="00546698">
        <w:rPr>
          <w:sz w:val="22"/>
          <w:szCs w:val="22"/>
        </w:rPr>
        <w:t> </w:t>
      </w:r>
      <w:r w:rsidRPr="00BA62E0">
        <w:rPr>
          <w:sz w:val="22"/>
          <w:szCs w:val="22"/>
        </w:rPr>
        <w:t>současnosti provozovaných bioplynových stanic využívá bioplyn k</w:t>
      </w:r>
      <w:r w:rsidR="00546698">
        <w:rPr>
          <w:sz w:val="22"/>
          <w:szCs w:val="22"/>
        </w:rPr>
        <w:t> </w:t>
      </w:r>
      <w:r w:rsidRPr="00BA62E0">
        <w:rPr>
          <w:sz w:val="22"/>
          <w:szCs w:val="22"/>
        </w:rPr>
        <w:t>výrobě elektrické energie a</w:t>
      </w:r>
      <w:r w:rsidR="00546698">
        <w:rPr>
          <w:sz w:val="22"/>
          <w:szCs w:val="22"/>
        </w:rPr>
        <w:t> </w:t>
      </w:r>
      <w:r w:rsidRPr="00BA62E0">
        <w:rPr>
          <w:sz w:val="22"/>
          <w:szCs w:val="22"/>
        </w:rPr>
        <w:t>tepla v</w:t>
      </w:r>
      <w:r w:rsidR="00546698">
        <w:rPr>
          <w:sz w:val="22"/>
          <w:szCs w:val="22"/>
        </w:rPr>
        <w:t> </w:t>
      </w:r>
      <w:r w:rsidRPr="00BA62E0">
        <w:rPr>
          <w:sz w:val="22"/>
          <w:szCs w:val="22"/>
        </w:rPr>
        <w:t>kogeneračních jednotkách. Většina tepla, které je z</w:t>
      </w:r>
      <w:r w:rsidR="00546698">
        <w:rPr>
          <w:sz w:val="22"/>
          <w:szCs w:val="22"/>
        </w:rPr>
        <w:t> </w:t>
      </w:r>
      <w:r w:rsidRPr="00BA62E0">
        <w:rPr>
          <w:sz w:val="22"/>
          <w:szCs w:val="22"/>
        </w:rPr>
        <w:t xml:space="preserve">bioplynu při produkci elektrické energie vyprodukována, je bez užitku mařena. </w:t>
      </w:r>
      <w:r w:rsidRPr="00BA62E0">
        <w:rPr>
          <w:b/>
          <w:bCs/>
          <w:sz w:val="22"/>
          <w:szCs w:val="22"/>
        </w:rPr>
        <w:t>Bioplynové stanice, které nemají využití pro teplo, po skončení nároku jejich současné provozní podpory elektřiny z</w:t>
      </w:r>
      <w:r w:rsidR="00546698">
        <w:rPr>
          <w:b/>
          <w:bCs/>
          <w:sz w:val="22"/>
          <w:szCs w:val="22"/>
        </w:rPr>
        <w:t> </w:t>
      </w:r>
      <w:r w:rsidRPr="00BA62E0">
        <w:rPr>
          <w:b/>
          <w:bCs/>
          <w:sz w:val="22"/>
          <w:szCs w:val="22"/>
        </w:rPr>
        <w:t>OZE, mají několik možností</w:t>
      </w:r>
      <w:r w:rsidRPr="00BA62E0">
        <w:rPr>
          <w:sz w:val="22"/>
          <w:szCs w:val="22"/>
        </w:rPr>
        <w:t xml:space="preserve">: </w:t>
      </w:r>
    </w:p>
    <w:p w14:paraId="77244665" w14:textId="77777777" w:rsidR="001B4719" w:rsidRPr="00BA62E0" w:rsidRDefault="001B4719" w:rsidP="001B4719">
      <w:pPr>
        <w:pStyle w:val="Default"/>
        <w:numPr>
          <w:ilvl w:val="0"/>
          <w:numId w:val="21"/>
        </w:numPr>
        <w:spacing w:line="276" w:lineRule="auto"/>
        <w:ind w:left="426" w:hanging="426"/>
        <w:jc w:val="both"/>
        <w:rPr>
          <w:sz w:val="22"/>
          <w:szCs w:val="22"/>
        </w:rPr>
      </w:pPr>
      <w:r w:rsidRPr="00BA62E0">
        <w:rPr>
          <w:sz w:val="22"/>
          <w:szCs w:val="22"/>
        </w:rPr>
        <w:t>nebudou nic chtít provádět, pak skončí s</w:t>
      </w:r>
      <w:r w:rsidR="00546698">
        <w:rPr>
          <w:sz w:val="22"/>
          <w:szCs w:val="22"/>
        </w:rPr>
        <w:t> </w:t>
      </w:r>
      <w:r w:rsidRPr="00BA62E0">
        <w:rPr>
          <w:sz w:val="22"/>
          <w:szCs w:val="22"/>
        </w:rPr>
        <w:t xml:space="preserve">provozem, </w:t>
      </w:r>
    </w:p>
    <w:p w14:paraId="45AD9564" w14:textId="77777777" w:rsidR="001B4719" w:rsidRPr="00BA62E0" w:rsidRDefault="001B4719" w:rsidP="001B4719">
      <w:pPr>
        <w:pStyle w:val="Default"/>
        <w:numPr>
          <w:ilvl w:val="0"/>
          <w:numId w:val="21"/>
        </w:numPr>
        <w:spacing w:line="276" w:lineRule="auto"/>
        <w:ind w:left="426" w:hanging="426"/>
        <w:jc w:val="both"/>
        <w:rPr>
          <w:sz w:val="22"/>
          <w:szCs w:val="22"/>
        </w:rPr>
      </w:pPr>
      <w:r w:rsidRPr="00BA62E0">
        <w:rPr>
          <w:sz w:val="22"/>
          <w:szCs w:val="22"/>
        </w:rPr>
        <w:t>rozšíří se na energeticky efektivní výrobny elektřiny s</w:t>
      </w:r>
      <w:r w:rsidR="00546698">
        <w:rPr>
          <w:sz w:val="22"/>
          <w:szCs w:val="22"/>
        </w:rPr>
        <w:t> </w:t>
      </w:r>
      <w:r w:rsidRPr="00BA62E0">
        <w:rPr>
          <w:sz w:val="22"/>
          <w:szCs w:val="22"/>
        </w:rPr>
        <w:t>velkým využitím užitečného tepla (využití min. 50 % vyrobeného tepla, resp. 50 % užitečného tepla z</w:t>
      </w:r>
      <w:r w:rsidR="00546698">
        <w:rPr>
          <w:sz w:val="22"/>
          <w:szCs w:val="22"/>
        </w:rPr>
        <w:t> </w:t>
      </w:r>
      <w:r w:rsidRPr="00BA62E0">
        <w:rPr>
          <w:sz w:val="22"/>
          <w:szCs w:val="22"/>
        </w:rPr>
        <w:t xml:space="preserve">celkově vyrobeného tepla), </w:t>
      </w:r>
    </w:p>
    <w:p w14:paraId="2F48EB2E" w14:textId="77777777" w:rsidR="001B4719" w:rsidRPr="00BA62E0" w:rsidRDefault="001B4719" w:rsidP="001B4719">
      <w:pPr>
        <w:pStyle w:val="Default"/>
        <w:numPr>
          <w:ilvl w:val="0"/>
          <w:numId w:val="21"/>
        </w:numPr>
        <w:spacing w:line="276" w:lineRule="auto"/>
        <w:ind w:left="426" w:hanging="426"/>
        <w:jc w:val="both"/>
        <w:rPr>
          <w:sz w:val="22"/>
          <w:szCs w:val="22"/>
        </w:rPr>
      </w:pPr>
      <w:r w:rsidRPr="00BA62E0">
        <w:rPr>
          <w:sz w:val="22"/>
          <w:szCs w:val="22"/>
        </w:rPr>
        <w:t xml:space="preserve">převedou se na výrobny </w:t>
      </w:r>
      <w:r>
        <w:rPr>
          <w:sz w:val="22"/>
          <w:szCs w:val="22"/>
        </w:rPr>
        <w:t>biometan</w:t>
      </w:r>
      <w:r w:rsidRPr="00BA62E0">
        <w:rPr>
          <w:sz w:val="22"/>
          <w:szCs w:val="22"/>
        </w:rPr>
        <w:t xml:space="preserve">u, </w:t>
      </w:r>
    </w:p>
    <w:p w14:paraId="1B7312FD" w14:textId="77777777" w:rsidR="001B4719" w:rsidRPr="00BA62E0" w:rsidRDefault="001B4719" w:rsidP="001B4719">
      <w:pPr>
        <w:pStyle w:val="Default"/>
        <w:numPr>
          <w:ilvl w:val="0"/>
          <w:numId w:val="21"/>
        </w:numPr>
        <w:spacing w:line="276" w:lineRule="auto"/>
        <w:ind w:left="426" w:hanging="426"/>
        <w:jc w:val="both"/>
        <w:rPr>
          <w:sz w:val="22"/>
          <w:szCs w:val="22"/>
        </w:rPr>
      </w:pPr>
      <w:r w:rsidRPr="00BA62E0">
        <w:rPr>
          <w:sz w:val="22"/>
          <w:szCs w:val="22"/>
        </w:rPr>
        <w:t>je možná i</w:t>
      </w:r>
      <w:r w:rsidR="00546698">
        <w:rPr>
          <w:sz w:val="22"/>
          <w:szCs w:val="22"/>
        </w:rPr>
        <w:t> </w:t>
      </w:r>
      <w:r w:rsidRPr="00BA62E0">
        <w:rPr>
          <w:sz w:val="22"/>
          <w:szCs w:val="22"/>
        </w:rPr>
        <w:t>částečná úprava a</w:t>
      </w:r>
      <w:r w:rsidR="00546698">
        <w:rPr>
          <w:sz w:val="22"/>
          <w:szCs w:val="22"/>
        </w:rPr>
        <w:t> </w:t>
      </w:r>
      <w:r w:rsidRPr="00BA62E0">
        <w:rPr>
          <w:sz w:val="22"/>
          <w:szCs w:val="22"/>
        </w:rPr>
        <w:t>konverze, kdy u</w:t>
      </w:r>
      <w:r w:rsidR="00546698">
        <w:rPr>
          <w:sz w:val="22"/>
          <w:szCs w:val="22"/>
        </w:rPr>
        <w:t> </w:t>
      </w:r>
      <w:r w:rsidRPr="00BA62E0">
        <w:rPr>
          <w:sz w:val="22"/>
          <w:szCs w:val="22"/>
        </w:rPr>
        <w:t>současné výrobny elektřiny z</w:t>
      </w:r>
      <w:r w:rsidR="00546698">
        <w:rPr>
          <w:sz w:val="22"/>
          <w:szCs w:val="22"/>
        </w:rPr>
        <w:t> </w:t>
      </w:r>
      <w:r w:rsidRPr="00BA62E0">
        <w:rPr>
          <w:sz w:val="22"/>
          <w:szCs w:val="22"/>
        </w:rPr>
        <w:t xml:space="preserve">bioplynu složené např. ze tří zdrojů, která neprodukuje žádné užitečné teplo, budou dva zdroje konvertovány na výrobnu </w:t>
      </w:r>
      <w:r>
        <w:rPr>
          <w:sz w:val="22"/>
          <w:szCs w:val="22"/>
        </w:rPr>
        <w:t>biometan</w:t>
      </w:r>
      <w:r w:rsidRPr="00BA62E0">
        <w:rPr>
          <w:sz w:val="22"/>
          <w:szCs w:val="22"/>
        </w:rPr>
        <w:t>u a</w:t>
      </w:r>
      <w:r w:rsidR="00546698">
        <w:rPr>
          <w:sz w:val="22"/>
          <w:szCs w:val="22"/>
        </w:rPr>
        <w:t> </w:t>
      </w:r>
      <w:r w:rsidRPr="00BA62E0">
        <w:rPr>
          <w:sz w:val="22"/>
          <w:szCs w:val="22"/>
        </w:rPr>
        <w:t>jeden zdroj se upraví na energeticky efektivní výrobu elektřiny s</w:t>
      </w:r>
      <w:r w:rsidR="00546698">
        <w:rPr>
          <w:sz w:val="22"/>
          <w:szCs w:val="22"/>
        </w:rPr>
        <w:t> </w:t>
      </w:r>
      <w:r w:rsidRPr="00BA62E0">
        <w:rPr>
          <w:sz w:val="22"/>
          <w:szCs w:val="22"/>
        </w:rPr>
        <w:t>velkým využitím užitečného tepla</w:t>
      </w:r>
      <w:r w:rsidRPr="00BA62E0">
        <w:rPr>
          <w:rStyle w:val="Znakapoznpodarou"/>
          <w:sz w:val="22"/>
          <w:szCs w:val="22"/>
        </w:rPr>
        <w:footnoteReference w:id="16"/>
      </w:r>
      <w:r w:rsidRPr="00BA62E0">
        <w:rPr>
          <w:sz w:val="22"/>
          <w:szCs w:val="22"/>
        </w:rPr>
        <w:t xml:space="preserve">. </w:t>
      </w:r>
    </w:p>
    <w:p w14:paraId="28AC2E22" w14:textId="77777777" w:rsidR="001B4719" w:rsidRPr="0050685D" w:rsidRDefault="001B4719" w:rsidP="001B4719">
      <w:pPr>
        <w:pStyle w:val="Default"/>
        <w:spacing w:line="276" w:lineRule="auto"/>
        <w:jc w:val="both"/>
        <w:rPr>
          <w:rFonts w:asciiTheme="majorHAnsi" w:hAnsiTheme="majorHAnsi" w:cstheme="minorHAnsi"/>
          <w:sz w:val="22"/>
          <w:szCs w:val="22"/>
        </w:rPr>
      </w:pPr>
    </w:p>
    <w:p w14:paraId="707286FF" w14:textId="77777777" w:rsidR="001B4719" w:rsidRPr="00BA62E0" w:rsidRDefault="001B4719" w:rsidP="001B4719">
      <w:pPr>
        <w:pStyle w:val="Default"/>
        <w:jc w:val="both"/>
        <w:rPr>
          <w:sz w:val="22"/>
          <w:szCs w:val="22"/>
        </w:rPr>
      </w:pPr>
      <w:r w:rsidRPr="00BA62E0">
        <w:rPr>
          <w:b/>
          <w:bCs/>
          <w:sz w:val="22"/>
          <w:szCs w:val="22"/>
        </w:rPr>
        <w:t>Pokud má dojít k</w:t>
      </w:r>
      <w:r w:rsidR="00546698">
        <w:rPr>
          <w:b/>
          <w:bCs/>
          <w:sz w:val="22"/>
          <w:szCs w:val="22"/>
        </w:rPr>
        <w:t> </w:t>
      </w:r>
      <w:r w:rsidRPr="00BA62E0">
        <w:rPr>
          <w:b/>
          <w:bCs/>
          <w:sz w:val="22"/>
          <w:szCs w:val="22"/>
        </w:rPr>
        <w:t xml:space="preserve">rozvoji požadované produkce </w:t>
      </w:r>
      <w:r>
        <w:rPr>
          <w:b/>
          <w:bCs/>
          <w:sz w:val="22"/>
          <w:szCs w:val="22"/>
        </w:rPr>
        <w:t>biometan</w:t>
      </w:r>
      <w:r w:rsidRPr="00BA62E0">
        <w:rPr>
          <w:b/>
          <w:bCs/>
          <w:sz w:val="22"/>
          <w:szCs w:val="22"/>
        </w:rPr>
        <w:t>u v</w:t>
      </w:r>
      <w:r w:rsidR="00546698">
        <w:rPr>
          <w:b/>
          <w:bCs/>
          <w:sz w:val="22"/>
          <w:szCs w:val="22"/>
        </w:rPr>
        <w:t> </w:t>
      </w:r>
      <w:r w:rsidRPr="00BA62E0">
        <w:rPr>
          <w:b/>
          <w:bCs/>
          <w:sz w:val="22"/>
          <w:szCs w:val="22"/>
        </w:rPr>
        <w:t xml:space="preserve">České republice, je důležité, aby provozní podpora na produkci </w:t>
      </w:r>
      <w:r>
        <w:rPr>
          <w:b/>
          <w:bCs/>
          <w:sz w:val="22"/>
          <w:szCs w:val="22"/>
        </w:rPr>
        <w:t>biometan</w:t>
      </w:r>
      <w:r w:rsidRPr="00BA62E0">
        <w:rPr>
          <w:b/>
          <w:bCs/>
          <w:sz w:val="22"/>
          <w:szCs w:val="22"/>
        </w:rPr>
        <w:t xml:space="preserve">u byla umožněna všem výrobnám </w:t>
      </w:r>
      <w:r>
        <w:rPr>
          <w:b/>
          <w:bCs/>
          <w:sz w:val="22"/>
          <w:szCs w:val="22"/>
        </w:rPr>
        <w:t>biometan</w:t>
      </w:r>
      <w:r w:rsidRPr="00BA62E0">
        <w:rPr>
          <w:b/>
          <w:bCs/>
          <w:sz w:val="22"/>
          <w:szCs w:val="22"/>
        </w:rPr>
        <w:t>u, u</w:t>
      </w:r>
      <w:r w:rsidR="00546698">
        <w:rPr>
          <w:b/>
          <w:bCs/>
          <w:sz w:val="22"/>
          <w:szCs w:val="22"/>
        </w:rPr>
        <w:t> </w:t>
      </w:r>
      <w:r w:rsidRPr="00BA62E0">
        <w:rPr>
          <w:b/>
          <w:bCs/>
          <w:sz w:val="22"/>
          <w:szCs w:val="22"/>
        </w:rPr>
        <w:t>kterých lze prokázat jeho využití v</w:t>
      </w:r>
      <w:r w:rsidR="00546698">
        <w:rPr>
          <w:b/>
          <w:bCs/>
          <w:sz w:val="22"/>
          <w:szCs w:val="22"/>
        </w:rPr>
        <w:t> </w:t>
      </w:r>
      <w:r w:rsidRPr="00BA62E0">
        <w:rPr>
          <w:b/>
          <w:bCs/>
          <w:sz w:val="22"/>
          <w:szCs w:val="22"/>
        </w:rPr>
        <w:t>dopravě</w:t>
      </w:r>
      <w:r w:rsidRPr="00BA62E0">
        <w:rPr>
          <w:sz w:val="22"/>
          <w:szCs w:val="22"/>
        </w:rPr>
        <w:t xml:space="preserve">. Připojení výrobny </w:t>
      </w:r>
      <w:r>
        <w:rPr>
          <w:sz w:val="22"/>
          <w:szCs w:val="22"/>
        </w:rPr>
        <w:t>biometan</w:t>
      </w:r>
      <w:r w:rsidRPr="00BA62E0">
        <w:rPr>
          <w:sz w:val="22"/>
          <w:szCs w:val="22"/>
        </w:rPr>
        <w:t>u na rozvodnou síť zemního plynu je pro producenta výhodou a</w:t>
      </w:r>
      <w:r w:rsidR="00546698">
        <w:rPr>
          <w:sz w:val="22"/>
          <w:szCs w:val="22"/>
        </w:rPr>
        <w:t> </w:t>
      </w:r>
      <w:r w:rsidRPr="00BA62E0">
        <w:rPr>
          <w:sz w:val="22"/>
          <w:szCs w:val="22"/>
        </w:rPr>
        <w:t>ti, u</w:t>
      </w:r>
      <w:r w:rsidR="00546698">
        <w:rPr>
          <w:sz w:val="22"/>
          <w:szCs w:val="22"/>
        </w:rPr>
        <w:t> </w:t>
      </w:r>
      <w:r w:rsidRPr="00BA62E0">
        <w:rPr>
          <w:sz w:val="22"/>
          <w:szCs w:val="22"/>
        </w:rPr>
        <w:t xml:space="preserve">nichž je připojení do sítě dostupné, ho ve vlastním zájmu zrealizují. </w:t>
      </w:r>
    </w:p>
    <w:p w14:paraId="74B1CAC3" w14:textId="77777777" w:rsidR="001B4719" w:rsidRPr="00BA62E0" w:rsidRDefault="001B4719" w:rsidP="001B4719">
      <w:pPr>
        <w:pStyle w:val="Textkomente"/>
        <w:jc w:val="both"/>
        <w:rPr>
          <w:rFonts w:cs="Arial"/>
          <w:color w:val="000000"/>
          <w:sz w:val="22"/>
          <w:szCs w:val="22"/>
        </w:rPr>
      </w:pPr>
      <w:r w:rsidRPr="00BA62E0">
        <w:rPr>
          <w:rFonts w:cs="Arial"/>
          <w:b/>
          <w:bCs/>
          <w:color w:val="000000"/>
          <w:sz w:val="22"/>
          <w:szCs w:val="22"/>
        </w:rPr>
        <w:t xml:space="preserve">Pro efektivní využití potenciálu pokročilého </w:t>
      </w:r>
      <w:r>
        <w:rPr>
          <w:rFonts w:cs="Arial"/>
          <w:b/>
          <w:bCs/>
          <w:color w:val="000000"/>
          <w:sz w:val="22"/>
          <w:szCs w:val="22"/>
        </w:rPr>
        <w:t>biometan</w:t>
      </w:r>
      <w:r w:rsidRPr="00BA62E0">
        <w:rPr>
          <w:rFonts w:cs="Arial"/>
          <w:b/>
          <w:bCs/>
          <w:color w:val="000000"/>
          <w:sz w:val="22"/>
          <w:szCs w:val="22"/>
        </w:rPr>
        <w:t>u</w:t>
      </w:r>
      <w:r w:rsidRPr="00BA62E0">
        <w:rPr>
          <w:rFonts w:cs="Arial"/>
          <w:color w:val="000000"/>
          <w:sz w:val="22"/>
          <w:szCs w:val="22"/>
        </w:rPr>
        <w:t xml:space="preserve"> (a energie započtené do cíle v</w:t>
      </w:r>
      <w:r w:rsidR="00546698">
        <w:rPr>
          <w:rFonts w:cs="Arial"/>
          <w:color w:val="000000"/>
          <w:sz w:val="22"/>
          <w:szCs w:val="22"/>
        </w:rPr>
        <w:t> </w:t>
      </w:r>
      <w:r w:rsidRPr="00BA62E0">
        <w:rPr>
          <w:rFonts w:cs="Arial"/>
          <w:color w:val="000000"/>
          <w:sz w:val="22"/>
          <w:szCs w:val="22"/>
        </w:rPr>
        <w:t xml:space="preserve">OZE) </w:t>
      </w:r>
      <w:r w:rsidRPr="00BA62E0">
        <w:rPr>
          <w:rFonts w:cs="Arial"/>
          <w:b/>
          <w:bCs/>
          <w:color w:val="000000"/>
          <w:sz w:val="22"/>
          <w:szCs w:val="22"/>
        </w:rPr>
        <w:t>se jeví strategicky vhodné zaměřit se na všechny druhy bioplynových stanic</w:t>
      </w:r>
      <w:r w:rsidRPr="00BA62E0">
        <w:rPr>
          <w:rFonts w:cs="Arial"/>
          <w:color w:val="000000"/>
          <w:sz w:val="22"/>
          <w:szCs w:val="22"/>
        </w:rPr>
        <w:t>, resp. umožnit konverzi všech druhů bioplynových stanic, byť by byl jejich příspěvek zanedbatelný, tedy i</w:t>
      </w:r>
      <w:r w:rsidR="00546698">
        <w:rPr>
          <w:rFonts w:cs="Arial"/>
          <w:color w:val="000000"/>
          <w:sz w:val="22"/>
          <w:szCs w:val="22"/>
        </w:rPr>
        <w:t> </w:t>
      </w:r>
      <w:r w:rsidRPr="00BA62E0">
        <w:rPr>
          <w:rFonts w:cs="Arial"/>
          <w:color w:val="000000"/>
          <w:sz w:val="22"/>
          <w:szCs w:val="22"/>
        </w:rPr>
        <w:t>bioplynových stanic využívajících skládkový plyn a</w:t>
      </w:r>
      <w:r w:rsidR="00546698">
        <w:rPr>
          <w:rFonts w:cs="Arial"/>
          <w:color w:val="000000"/>
          <w:sz w:val="22"/>
          <w:szCs w:val="22"/>
        </w:rPr>
        <w:t> </w:t>
      </w:r>
      <w:r w:rsidRPr="00BA62E0">
        <w:rPr>
          <w:rFonts w:cs="Arial"/>
          <w:color w:val="000000"/>
          <w:sz w:val="22"/>
          <w:szCs w:val="22"/>
        </w:rPr>
        <w:t>průmyslové a</w:t>
      </w:r>
      <w:r w:rsidR="00546698">
        <w:rPr>
          <w:rFonts w:cs="Arial"/>
          <w:color w:val="000000"/>
          <w:sz w:val="22"/>
          <w:szCs w:val="22"/>
        </w:rPr>
        <w:t> </w:t>
      </w:r>
      <w:r w:rsidRPr="00BA62E0">
        <w:rPr>
          <w:rFonts w:cs="Arial"/>
          <w:color w:val="000000"/>
          <w:sz w:val="22"/>
          <w:szCs w:val="22"/>
        </w:rPr>
        <w:t xml:space="preserve">komunální ČOV. </w:t>
      </w:r>
      <w:r w:rsidRPr="00BA62E0">
        <w:rPr>
          <w:rFonts w:cs="Arial"/>
          <w:b/>
          <w:bCs/>
          <w:color w:val="000000"/>
          <w:sz w:val="22"/>
          <w:szCs w:val="22"/>
        </w:rPr>
        <w:t xml:space="preserve">Bylo by účinné přijmout taková opatření, která budou výrobcům bioplynu umožňovat konverzi na </w:t>
      </w:r>
      <w:r>
        <w:rPr>
          <w:rFonts w:cs="Arial"/>
          <w:b/>
          <w:bCs/>
          <w:color w:val="000000"/>
          <w:sz w:val="22"/>
          <w:szCs w:val="22"/>
        </w:rPr>
        <w:t>biometan</w:t>
      </w:r>
      <w:r w:rsidRPr="00BA62E0">
        <w:rPr>
          <w:rFonts w:cs="Arial"/>
          <w:b/>
          <w:bCs/>
          <w:color w:val="000000"/>
          <w:sz w:val="22"/>
          <w:szCs w:val="22"/>
        </w:rPr>
        <w:t xml:space="preserve"> </w:t>
      </w:r>
      <w:r w:rsidRPr="00BA62E0">
        <w:rPr>
          <w:rFonts w:cs="Arial"/>
          <w:b/>
          <w:bCs/>
          <w:color w:val="000000"/>
          <w:sz w:val="22"/>
          <w:szCs w:val="22"/>
        </w:rPr>
        <w:lastRenderedPageBreak/>
        <w:t>i</w:t>
      </w:r>
      <w:r w:rsidR="00546698">
        <w:rPr>
          <w:rFonts w:cs="Arial"/>
          <w:b/>
          <w:bCs/>
          <w:color w:val="000000"/>
          <w:sz w:val="22"/>
          <w:szCs w:val="22"/>
        </w:rPr>
        <w:t> </w:t>
      </w:r>
      <w:r w:rsidRPr="00BA62E0">
        <w:rPr>
          <w:rFonts w:cs="Arial"/>
          <w:b/>
          <w:bCs/>
          <w:color w:val="000000"/>
          <w:sz w:val="22"/>
          <w:szCs w:val="22"/>
        </w:rPr>
        <w:t>před ukončením stávající podpory, a</w:t>
      </w:r>
      <w:r w:rsidR="00546698">
        <w:rPr>
          <w:rFonts w:cs="Arial"/>
          <w:b/>
          <w:bCs/>
          <w:color w:val="000000"/>
          <w:sz w:val="22"/>
          <w:szCs w:val="22"/>
        </w:rPr>
        <w:t> </w:t>
      </w:r>
      <w:r w:rsidRPr="00BA62E0">
        <w:rPr>
          <w:rFonts w:cs="Arial"/>
          <w:b/>
          <w:bCs/>
          <w:color w:val="000000"/>
          <w:sz w:val="22"/>
          <w:szCs w:val="22"/>
        </w:rPr>
        <w:t xml:space="preserve">to za obdobných </w:t>
      </w:r>
      <w:r w:rsidRPr="00BA62E0">
        <w:rPr>
          <w:rFonts w:cs="Arial"/>
          <w:color w:val="000000"/>
          <w:sz w:val="22"/>
          <w:szCs w:val="22"/>
        </w:rPr>
        <w:t xml:space="preserve">(nikoli výrazně horších) </w:t>
      </w:r>
      <w:r w:rsidRPr="00BA62E0">
        <w:rPr>
          <w:rFonts w:cs="Arial"/>
          <w:b/>
          <w:bCs/>
          <w:color w:val="000000"/>
          <w:sz w:val="22"/>
          <w:szCs w:val="22"/>
        </w:rPr>
        <w:t>ekonomických podmínek</w:t>
      </w:r>
      <w:r w:rsidRPr="00BA62E0">
        <w:rPr>
          <w:rFonts w:cs="Arial"/>
          <w:color w:val="000000"/>
          <w:sz w:val="22"/>
          <w:szCs w:val="22"/>
        </w:rPr>
        <w:t>. V</w:t>
      </w:r>
      <w:r w:rsidR="00546698">
        <w:rPr>
          <w:rFonts w:cs="Arial"/>
          <w:color w:val="000000"/>
          <w:sz w:val="22"/>
          <w:szCs w:val="22"/>
        </w:rPr>
        <w:t> </w:t>
      </w:r>
      <w:r w:rsidRPr="00BA62E0">
        <w:rPr>
          <w:rFonts w:cs="Arial"/>
          <w:color w:val="000000"/>
          <w:sz w:val="22"/>
          <w:szCs w:val="22"/>
        </w:rPr>
        <w:t xml:space="preserve">tom případě je možné očekávat rychlejší nárůst produkce </w:t>
      </w:r>
      <w:r>
        <w:rPr>
          <w:rFonts w:cs="Arial"/>
          <w:color w:val="000000"/>
          <w:sz w:val="22"/>
          <w:szCs w:val="22"/>
        </w:rPr>
        <w:t>biometan</w:t>
      </w:r>
      <w:r w:rsidRPr="00BA62E0">
        <w:rPr>
          <w:rFonts w:cs="Arial"/>
          <w:color w:val="000000"/>
          <w:sz w:val="22"/>
          <w:szCs w:val="22"/>
        </w:rPr>
        <w:t>u.</w:t>
      </w:r>
    </w:p>
    <w:p w14:paraId="63BC8ADB" w14:textId="77777777" w:rsidR="001B4719" w:rsidRPr="0050685D" w:rsidRDefault="001B4719" w:rsidP="001B4719">
      <w:pPr>
        <w:jc w:val="both"/>
        <w:rPr>
          <w:rFonts w:asciiTheme="majorHAnsi" w:hAnsiTheme="majorHAnsi" w:cstheme="minorHAnsi"/>
        </w:rPr>
      </w:pPr>
      <w:r w:rsidRPr="00BA62E0">
        <w:rPr>
          <w:rFonts w:cs="Arial"/>
        </w:rPr>
        <w:t xml:space="preserve">Aktualizovaný NAP </w:t>
      </w:r>
      <w:r>
        <w:rPr>
          <w:rFonts w:cs="Arial"/>
        </w:rPr>
        <w:t>C</w:t>
      </w:r>
      <w:r w:rsidRPr="00BA62E0">
        <w:rPr>
          <w:rFonts w:cs="Arial"/>
        </w:rPr>
        <w:t>M uvádí pro jednotlivé varianty V</w:t>
      </w:r>
      <w:r w:rsidR="00546698">
        <w:rPr>
          <w:rFonts w:cs="Arial"/>
        </w:rPr>
        <w:t> </w:t>
      </w:r>
      <w:r w:rsidRPr="00BA62E0">
        <w:rPr>
          <w:rFonts w:cs="Arial"/>
        </w:rPr>
        <w:t>– PA, V</w:t>
      </w:r>
      <w:r w:rsidR="00546698">
        <w:rPr>
          <w:rFonts w:cs="Arial"/>
        </w:rPr>
        <w:t> </w:t>
      </w:r>
      <w:r w:rsidRPr="00BA62E0">
        <w:rPr>
          <w:rFonts w:cs="Arial"/>
        </w:rPr>
        <w:t>– BAU a</w:t>
      </w:r>
      <w:r w:rsidR="00546698">
        <w:rPr>
          <w:rFonts w:cs="Arial"/>
        </w:rPr>
        <w:t> </w:t>
      </w:r>
      <w:r w:rsidRPr="00BA62E0">
        <w:rPr>
          <w:rFonts w:cs="Arial"/>
        </w:rPr>
        <w:t>V</w:t>
      </w:r>
      <w:r>
        <w:rPr>
          <w:rFonts w:cs="Arial"/>
        </w:rPr>
        <w:t> </w:t>
      </w:r>
      <w:r w:rsidRPr="00BA62E0">
        <w:rPr>
          <w:rFonts w:cs="Arial"/>
        </w:rPr>
        <w:t xml:space="preserve">– BP tři možné případy (varianty) předpokládaných objemů </w:t>
      </w:r>
      <w:r>
        <w:rPr>
          <w:rFonts w:cs="Arial"/>
        </w:rPr>
        <w:t>biometan</w:t>
      </w:r>
      <w:r w:rsidRPr="00BA62E0">
        <w:rPr>
          <w:rFonts w:cs="Arial"/>
        </w:rPr>
        <w:t>u (V – 14 %, V</w:t>
      </w:r>
      <w:r w:rsidR="00546698">
        <w:rPr>
          <w:rFonts w:cs="Arial"/>
        </w:rPr>
        <w:t> </w:t>
      </w:r>
      <w:r w:rsidRPr="00BA62E0">
        <w:rPr>
          <w:rFonts w:cs="Arial"/>
        </w:rPr>
        <w:t>– NKEP, V</w:t>
      </w:r>
      <w:r w:rsidR="00546698">
        <w:rPr>
          <w:rFonts w:cs="Arial"/>
        </w:rPr>
        <w:t> </w:t>
      </w:r>
      <w:r w:rsidRPr="00BA62E0">
        <w:rPr>
          <w:rFonts w:cs="Arial"/>
        </w:rPr>
        <w:t>– BioReal) v</w:t>
      </w:r>
      <w:r w:rsidR="00546698">
        <w:rPr>
          <w:rFonts w:cs="Arial"/>
        </w:rPr>
        <w:t> </w:t>
      </w:r>
      <w:r w:rsidRPr="00BA62E0">
        <w:rPr>
          <w:rFonts w:cs="Arial"/>
        </w:rPr>
        <w:t>mixu se zemním plynem v</w:t>
      </w:r>
      <w:r w:rsidR="00546698">
        <w:rPr>
          <w:rFonts w:cs="Arial"/>
        </w:rPr>
        <w:t> </w:t>
      </w:r>
      <w:r w:rsidRPr="00BA62E0">
        <w:rPr>
          <w:rFonts w:cs="Arial"/>
        </w:rPr>
        <w:t>rámci celkové spotřeby CNG/LNG v</w:t>
      </w:r>
      <w:r w:rsidR="00546698">
        <w:rPr>
          <w:rFonts w:cs="Arial"/>
        </w:rPr>
        <w:t> </w:t>
      </w:r>
      <w:r w:rsidRPr="00BA62E0">
        <w:rPr>
          <w:rFonts w:cs="Arial"/>
        </w:rPr>
        <w:t>dopravě.</w:t>
      </w:r>
    </w:p>
    <w:p w14:paraId="5327E2AD" w14:textId="77777777" w:rsidR="001B4719" w:rsidRPr="0050685D" w:rsidRDefault="001B4719" w:rsidP="001B4719">
      <w:pPr>
        <w:pStyle w:val="Nadpis4"/>
        <w:numPr>
          <w:ilvl w:val="3"/>
          <w:numId w:val="9"/>
        </w:numPr>
        <w:jc w:val="both"/>
      </w:pPr>
      <w:bookmarkStart w:id="424" w:name="_Toc13685893"/>
      <w:bookmarkStart w:id="425" w:name="_Toc13753790"/>
      <w:bookmarkStart w:id="426" w:name="_Toc19792344"/>
      <w:bookmarkStart w:id="427" w:name="_Toc25136815"/>
      <w:bookmarkStart w:id="428" w:name="_Toc34295940"/>
      <w:r w:rsidRPr="0050685D">
        <w:t>Charakteristika a</w:t>
      </w:r>
      <w:r w:rsidR="00546698">
        <w:t> </w:t>
      </w:r>
      <w:r w:rsidRPr="0050685D">
        <w:t>předpoklady jednotlivých variant</w:t>
      </w:r>
      <w:bookmarkEnd w:id="424"/>
      <w:bookmarkEnd w:id="425"/>
      <w:bookmarkEnd w:id="426"/>
      <w:bookmarkEnd w:id="427"/>
      <w:bookmarkEnd w:id="428"/>
    </w:p>
    <w:p w14:paraId="3C2FEF00" w14:textId="77777777" w:rsidR="001B4719" w:rsidRPr="00C91992" w:rsidRDefault="001B4719" w:rsidP="001B4719">
      <w:pPr>
        <w:pStyle w:val="Textkomente"/>
        <w:tabs>
          <w:tab w:val="left" w:pos="9072"/>
        </w:tabs>
        <w:spacing w:after="0"/>
        <w:ind w:right="425"/>
        <w:jc w:val="both"/>
        <w:rPr>
          <w:rFonts w:cs="Arial"/>
          <w:sz w:val="22"/>
          <w:szCs w:val="22"/>
        </w:rPr>
      </w:pPr>
      <w:r w:rsidRPr="00C91992">
        <w:rPr>
          <w:rFonts w:cs="Arial"/>
          <w:sz w:val="22"/>
          <w:szCs w:val="22"/>
        </w:rPr>
        <w:t xml:space="preserve">Pokročilý </w:t>
      </w:r>
      <w:r>
        <w:rPr>
          <w:rFonts w:cs="Arial"/>
          <w:sz w:val="22"/>
          <w:szCs w:val="22"/>
        </w:rPr>
        <w:t>biometan</w:t>
      </w:r>
      <w:r w:rsidRPr="00C91992">
        <w:rPr>
          <w:rFonts w:cs="Arial"/>
          <w:sz w:val="22"/>
          <w:szCs w:val="22"/>
        </w:rPr>
        <w:t xml:space="preserve"> je </w:t>
      </w:r>
      <w:r>
        <w:rPr>
          <w:rFonts w:cs="Arial"/>
          <w:sz w:val="22"/>
          <w:szCs w:val="22"/>
        </w:rPr>
        <w:t>biometan</w:t>
      </w:r>
      <w:r w:rsidRPr="00C91992">
        <w:rPr>
          <w:rFonts w:cs="Arial"/>
          <w:sz w:val="22"/>
          <w:szCs w:val="22"/>
        </w:rPr>
        <w:t xml:space="preserve"> vyrobený ze substrátů dle přílohy IX směrnice 2018/2001. </w:t>
      </w:r>
      <w:r w:rsidRPr="00C91992">
        <w:rPr>
          <w:rFonts w:cs="Arial"/>
          <w:b/>
          <w:bCs/>
          <w:sz w:val="22"/>
          <w:szCs w:val="22"/>
        </w:rPr>
        <w:t xml:space="preserve">Prioritně je predikovaný potenciál </w:t>
      </w:r>
      <w:r>
        <w:rPr>
          <w:rFonts w:cs="Arial"/>
          <w:b/>
          <w:bCs/>
          <w:sz w:val="22"/>
          <w:szCs w:val="22"/>
        </w:rPr>
        <w:t>biometan</w:t>
      </w:r>
      <w:r w:rsidRPr="00C91992">
        <w:rPr>
          <w:rFonts w:cs="Arial"/>
          <w:b/>
          <w:bCs/>
          <w:sz w:val="22"/>
          <w:szCs w:val="22"/>
        </w:rPr>
        <w:t>u v</w:t>
      </w:r>
      <w:r w:rsidR="00546698">
        <w:rPr>
          <w:rFonts w:cs="Arial"/>
          <w:b/>
          <w:bCs/>
          <w:sz w:val="22"/>
          <w:szCs w:val="22"/>
        </w:rPr>
        <w:t> </w:t>
      </w:r>
      <w:r w:rsidRPr="00C91992">
        <w:rPr>
          <w:rFonts w:cs="Arial"/>
          <w:b/>
          <w:bCs/>
          <w:sz w:val="22"/>
          <w:szCs w:val="22"/>
        </w:rPr>
        <w:t>požadované kvalitě, který je vyroben z</w:t>
      </w:r>
      <w:r w:rsidR="00546698">
        <w:rPr>
          <w:rFonts w:cs="Arial"/>
          <w:b/>
          <w:bCs/>
          <w:sz w:val="22"/>
          <w:szCs w:val="22"/>
        </w:rPr>
        <w:t> </w:t>
      </w:r>
      <w:r w:rsidRPr="00C91992">
        <w:rPr>
          <w:rFonts w:cs="Arial"/>
          <w:b/>
          <w:bCs/>
          <w:sz w:val="22"/>
          <w:szCs w:val="22"/>
        </w:rPr>
        <w:t>pokročilých biopaliv</w:t>
      </w:r>
      <w:r w:rsidRPr="00C91992">
        <w:rPr>
          <w:rFonts w:cs="Arial"/>
          <w:sz w:val="22"/>
          <w:szCs w:val="22"/>
        </w:rPr>
        <w:t>. Postupný mix zemního plynu (CNG/LNG) s</w:t>
      </w:r>
      <w:r w:rsidR="00546698">
        <w:rPr>
          <w:rFonts w:cs="Arial"/>
          <w:sz w:val="22"/>
          <w:szCs w:val="22"/>
        </w:rPr>
        <w:t> </w:t>
      </w:r>
      <w:r w:rsidRPr="00C91992">
        <w:rPr>
          <w:rFonts w:cs="Arial"/>
          <w:sz w:val="22"/>
          <w:szCs w:val="22"/>
        </w:rPr>
        <w:t xml:space="preserve">pokročilým </w:t>
      </w:r>
      <w:r>
        <w:rPr>
          <w:rFonts w:cs="Arial"/>
          <w:sz w:val="22"/>
          <w:szCs w:val="22"/>
        </w:rPr>
        <w:t>biometan</w:t>
      </w:r>
      <w:r w:rsidRPr="00C91992">
        <w:rPr>
          <w:rFonts w:cs="Arial"/>
          <w:sz w:val="22"/>
          <w:szCs w:val="22"/>
        </w:rPr>
        <w:t>em popisují níže uvedené tři varianty, které charakterizují různé objemy použití v</w:t>
      </w:r>
      <w:r w:rsidR="00546698">
        <w:rPr>
          <w:rFonts w:cs="Arial"/>
          <w:sz w:val="22"/>
          <w:szCs w:val="22"/>
        </w:rPr>
        <w:t> </w:t>
      </w:r>
      <w:r w:rsidRPr="00C91992">
        <w:rPr>
          <w:rFonts w:cs="Arial"/>
          <w:sz w:val="22"/>
          <w:szCs w:val="22"/>
        </w:rPr>
        <w:t>dopravě a</w:t>
      </w:r>
      <w:r w:rsidR="00546698">
        <w:rPr>
          <w:rFonts w:cs="Arial"/>
          <w:sz w:val="22"/>
          <w:szCs w:val="22"/>
        </w:rPr>
        <w:t> </w:t>
      </w:r>
      <w:r w:rsidRPr="00C91992">
        <w:rPr>
          <w:rFonts w:cs="Arial"/>
          <w:sz w:val="22"/>
          <w:szCs w:val="22"/>
        </w:rPr>
        <w:t>vycházejí z</w:t>
      </w:r>
      <w:r w:rsidR="00546698">
        <w:rPr>
          <w:rFonts w:cs="Arial"/>
          <w:sz w:val="22"/>
          <w:szCs w:val="22"/>
        </w:rPr>
        <w:t> </w:t>
      </w:r>
      <w:r w:rsidRPr="00C91992">
        <w:rPr>
          <w:rFonts w:cs="Arial"/>
          <w:sz w:val="22"/>
          <w:szCs w:val="22"/>
        </w:rPr>
        <w:t>předpokladu jeho dostatečné produkce v</w:t>
      </w:r>
      <w:r w:rsidR="00546698">
        <w:rPr>
          <w:rFonts w:cs="Arial"/>
          <w:sz w:val="22"/>
          <w:szCs w:val="22"/>
        </w:rPr>
        <w:t> </w:t>
      </w:r>
      <w:r w:rsidRPr="00C91992">
        <w:rPr>
          <w:rFonts w:cs="Arial"/>
          <w:sz w:val="22"/>
          <w:szCs w:val="22"/>
        </w:rPr>
        <w:t>ČR a</w:t>
      </w:r>
      <w:r w:rsidR="00546698">
        <w:rPr>
          <w:rFonts w:cs="Arial"/>
          <w:sz w:val="22"/>
          <w:szCs w:val="22"/>
        </w:rPr>
        <w:t> </w:t>
      </w:r>
      <w:r w:rsidRPr="00C91992">
        <w:rPr>
          <w:rFonts w:cs="Arial"/>
          <w:sz w:val="22"/>
          <w:szCs w:val="22"/>
        </w:rPr>
        <w:t>dosažení plnění požadovaných cílů stanovených EU:</w:t>
      </w:r>
    </w:p>
    <w:p w14:paraId="15F098E9" w14:textId="77777777" w:rsidR="001B4719" w:rsidRDefault="001B4719" w:rsidP="001B4719">
      <w:pPr>
        <w:pStyle w:val="Textkomente"/>
        <w:tabs>
          <w:tab w:val="left" w:pos="9072"/>
        </w:tabs>
        <w:spacing w:after="0"/>
        <w:ind w:right="425"/>
        <w:jc w:val="both"/>
        <w:rPr>
          <w:rFonts w:cs="Arial"/>
          <w:sz w:val="22"/>
          <w:szCs w:val="22"/>
        </w:rPr>
      </w:pPr>
      <w:r w:rsidRPr="00C91992">
        <w:rPr>
          <w:rFonts w:cs="Arial"/>
          <w:b/>
          <w:sz w:val="22"/>
          <w:szCs w:val="22"/>
        </w:rPr>
        <w:t xml:space="preserve">i) Varianta (V – 14 %): </w:t>
      </w:r>
      <w:r w:rsidRPr="00C91992">
        <w:rPr>
          <w:rFonts w:cs="Arial"/>
          <w:sz w:val="22"/>
          <w:szCs w:val="22"/>
        </w:rPr>
        <w:t>Tato varianta respektuje cíle OZE v</w:t>
      </w:r>
      <w:r w:rsidR="00546698">
        <w:rPr>
          <w:rFonts w:cs="Arial"/>
          <w:sz w:val="22"/>
          <w:szCs w:val="22"/>
        </w:rPr>
        <w:t> </w:t>
      </w:r>
      <w:r w:rsidRPr="00C91992">
        <w:rPr>
          <w:rFonts w:cs="Arial"/>
          <w:sz w:val="22"/>
          <w:szCs w:val="22"/>
        </w:rPr>
        <w:t xml:space="preserve">dopravě do roku 2030 podle revidované směrnice. Popisuje postupný nárůst uplatnění pokročilého </w:t>
      </w:r>
      <w:r>
        <w:rPr>
          <w:rFonts w:cs="Arial"/>
          <w:sz w:val="22"/>
          <w:szCs w:val="22"/>
        </w:rPr>
        <w:t>biometan</w:t>
      </w:r>
      <w:r w:rsidRPr="00C91992">
        <w:rPr>
          <w:rFonts w:cs="Arial"/>
          <w:sz w:val="22"/>
          <w:szCs w:val="22"/>
        </w:rPr>
        <w:t>u v</w:t>
      </w:r>
      <w:r w:rsidR="00546698">
        <w:rPr>
          <w:rFonts w:cs="Arial"/>
          <w:sz w:val="22"/>
          <w:szCs w:val="22"/>
        </w:rPr>
        <w:t> </w:t>
      </w:r>
      <w:r w:rsidRPr="00C91992">
        <w:rPr>
          <w:rFonts w:cs="Arial"/>
          <w:sz w:val="22"/>
          <w:szCs w:val="22"/>
        </w:rPr>
        <w:t>mixu se zemním plynem (CNG/LNG) ve variantách (V - PA, V</w:t>
      </w:r>
      <w:r w:rsidR="00546698">
        <w:rPr>
          <w:rFonts w:cs="Arial"/>
          <w:sz w:val="22"/>
          <w:szCs w:val="22"/>
        </w:rPr>
        <w:t> </w:t>
      </w:r>
      <w:r w:rsidRPr="00C91992">
        <w:rPr>
          <w:rFonts w:cs="Arial"/>
          <w:sz w:val="22"/>
          <w:szCs w:val="22"/>
        </w:rPr>
        <w:t>- BAU, V</w:t>
      </w:r>
      <w:r w:rsidR="00546698">
        <w:rPr>
          <w:rFonts w:cs="Arial"/>
          <w:sz w:val="22"/>
          <w:szCs w:val="22"/>
        </w:rPr>
        <w:t> </w:t>
      </w:r>
      <w:r w:rsidRPr="00C91992">
        <w:rPr>
          <w:rFonts w:cs="Arial"/>
          <w:sz w:val="22"/>
          <w:szCs w:val="22"/>
        </w:rPr>
        <w:t>- BP) s</w:t>
      </w:r>
      <w:r w:rsidR="00546698">
        <w:rPr>
          <w:rFonts w:cs="Arial"/>
          <w:sz w:val="22"/>
          <w:szCs w:val="22"/>
        </w:rPr>
        <w:t> </w:t>
      </w:r>
      <w:r w:rsidRPr="00C91992">
        <w:rPr>
          <w:rFonts w:cs="Arial"/>
          <w:sz w:val="22"/>
          <w:szCs w:val="22"/>
        </w:rPr>
        <w:t xml:space="preserve">cílem dosažení </w:t>
      </w:r>
      <w:r w:rsidRPr="00C91992">
        <w:rPr>
          <w:rFonts w:cs="Arial"/>
          <w:b/>
          <w:sz w:val="22"/>
          <w:szCs w:val="22"/>
        </w:rPr>
        <w:t>14 %</w:t>
      </w:r>
      <w:r w:rsidR="00FD73E5">
        <w:rPr>
          <w:rFonts w:cs="Arial"/>
          <w:b/>
          <w:sz w:val="22"/>
          <w:szCs w:val="22"/>
        </w:rPr>
        <w:t> </w:t>
      </w:r>
      <w:r w:rsidRPr="00C91992">
        <w:rPr>
          <w:rFonts w:cs="Arial"/>
          <w:b/>
          <w:sz w:val="22"/>
          <w:szCs w:val="22"/>
        </w:rPr>
        <w:t>v</w:t>
      </w:r>
      <w:r w:rsidR="00546698">
        <w:rPr>
          <w:rFonts w:cs="Arial"/>
          <w:b/>
          <w:sz w:val="22"/>
          <w:szCs w:val="22"/>
        </w:rPr>
        <w:t> </w:t>
      </w:r>
      <w:r w:rsidRPr="00C91992">
        <w:rPr>
          <w:rFonts w:cs="Arial"/>
          <w:b/>
          <w:sz w:val="22"/>
          <w:szCs w:val="22"/>
        </w:rPr>
        <w:t>dopravě v</w:t>
      </w:r>
      <w:r w:rsidR="00546698">
        <w:rPr>
          <w:rFonts w:cs="Arial"/>
          <w:b/>
          <w:sz w:val="22"/>
          <w:szCs w:val="22"/>
        </w:rPr>
        <w:t> </w:t>
      </w:r>
      <w:r w:rsidRPr="00C91992">
        <w:rPr>
          <w:rFonts w:cs="Arial"/>
          <w:b/>
          <w:sz w:val="22"/>
          <w:szCs w:val="22"/>
        </w:rPr>
        <w:t>roce 2030</w:t>
      </w:r>
      <w:r w:rsidRPr="00C91992">
        <w:rPr>
          <w:rFonts w:cs="Arial"/>
          <w:sz w:val="22"/>
          <w:szCs w:val="22"/>
        </w:rPr>
        <w:t xml:space="preserve">. Varianta uvažuje postupný nárůst objemu </w:t>
      </w:r>
      <w:r>
        <w:rPr>
          <w:rFonts w:cs="Arial"/>
          <w:sz w:val="22"/>
          <w:szCs w:val="22"/>
        </w:rPr>
        <w:t>biometan</w:t>
      </w:r>
      <w:r w:rsidRPr="00C91992">
        <w:rPr>
          <w:rFonts w:cs="Arial"/>
          <w:sz w:val="22"/>
          <w:szCs w:val="22"/>
        </w:rPr>
        <w:t>u v</w:t>
      </w:r>
      <w:r w:rsidR="00546698">
        <w:rPr>
          <w:rFonts w:cs="Arial"/>
          <w:sz w:val="22"/>
          <w:szCs w:val="22"/>
        </w:rPr>
        <w:t> </w:t>
      </w:r>
      <w:r w:rsidRPr="00C91992">
        <w:rPr>
          <w:rFonts w:cs="Arial"/>
          <w:sz w:val="22"/>
          <w:szCs w:val="22"/>
        </w:rPr>
        <w:t>mixu se ZP: (2020 - 2 %, 2025 - 9 %, 2030 - 14 %, 2050 - 14 %)</w:t>
      </w:r>
    </w:p>
    <w:p w14:paraId="4A26E82D" w14:textId="77777777" w:rsidR="00C95FCA" w:rsidRPr="00C95FCA" w:rsidRDefault="00C95FCA" w:rsidP="00C95FCA">
      <w:pPr>
        <w:pStyle w:val="Titulek"/>
        <w:keepNext/>
        <w:jc w:val="both"/>
      </w:pPr>
    </w:p>
    <w:p w14:paraId="51A5F5C4" w14:textId="77777777" w:rsidR="00C95FCA" w:rsidRDefault="00C95FCA" w:rsidP="00C95FCA">
      <w:pPr>
        <w:pStyle w:val="Titulek"/>
        <w:keepNext/>
        <w:jc w:val="both"/>
      </w:pPr>
      <w:bookmarkStart w:id="429" w:name="_Toc25230422"/>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15</w:t>
      </w:r>
      <w:r w:rsidR="001614BC">
        <w:rPr>
          <w:noProof/>
        </w:rPr>
        <w:fldChar w:fldCharType="end"/>
      </w:r>
      <w:r w:rsidRPr="00C95FCA">
        <w:t xml:space="preserve"> </w:t>
      </w:r>
      <w:r>
        <w:t xml:space="preserve">Graf </w:t>
      </w:r>
      <w:r>
        <w:rPr>
          <w:noProof/>
        </w:rPr>
        <w:t>p</w:t>
      </w:r>
      <w:r w:rsidRPr="00C91992">
        <w:t>redikc</w:t>
      </w:r>
      <w:r>
        <w:t>í</w:t>
      </w:r>
      <w:r w:rsidRPr="00C91992">
        <w:t xml:space="preserve"> objemů </w:t>
      </w:r>
      <w:r>
        <w:t>biometan</w:t>
      </w:r>
      <w:r w:rsidRPr="00C91992">
        <w:t>u v</w:t>
      </w:r>
      <w:r w:rsidR="00546698">
        <w:t> </w:t>
      </w:r>
      <w:r w:rsidRPr="00C91992">
        <w:t>mixu se zemním plynem (V – 14 %)</w:t>
      </w:r>
      <w:bookmarkEnd w:id="429"/>
    </w:p>
    <w:p w14:paraId="66D23DDD"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61CBD492" wp14:editId="63A6C94B">
            <wp:extent cx="5760720" cy="2736000"/>
            <wp:effectExtent l="0" t="0" r="11430" b="26670"/>
            <wp:docPr id="86" name="Graf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A9C2313" w14:textId="77777777" w:rsidR="001B4719" w:rsidRDefault="001B4719" w:rsidP="001B4719">
      <w:pPr>
        <w:jc w:val="both"/>
      </w:pPr>
      <w:r w:rsidRPr="0050685D">
        <w:t>Zdroj: ČPS</w:t>
      </w:r>
    </w:p>
    <w:p w14:paraId="42FA56EF" w14:textId="77777777" w:rsidR="001B4719" w:rsidRDefault="001B4719" w:rsidP="001B4719">
      <w:pPr>
        <w:pStyle w:val="Textkomente"/>
        <w:tabs>
          <w:tab w:val="left" w:pos="9072"/>
        </w:tabs>
        <w:spacing w:line="276" w:lineRule="auto"/>
        <w:ind w:right="425"/>
        <w:jc w:val="both"/>
        <w:rPr>
          <w:rFonts w:cs="Arial"/>
          <w:b/>
          <w:sz w:val="22"/>
          <w:szCs w:val="22"/>
        </w:rPr>
      </w:pPr>
    </w:p>
    <w:p w14:paraId="18E5F029" w14:textId="77777777" w:rsidR="001B4719" w:rsidRPr="00C95FCA" w:rsidRDefault="001B4719" w:rsidP="00C95FCA">
      <w:pPr>
        <w:pStyle w:val="Textkomente"/>
        <w:tabs>
          <w:tab w:val="left" w:pos="9072"/>
        </w:tabs>
        <w:ind w:right="425"/>
        <w:jc w:val="both"/>
        <w:rPr>
          <w:b/>
          <w:bCs/>
        </w:rPr>
      </w:pPr>
      <w:r w:rsidRPr="00F723A6">
        <w:rPr>
          <w:rFonts w:cs="Arial"/>
          <w:b/>
          <w:sz w:val="22"/>
          <w:szCs w:val="22"/>
        </w:rPr>
        <w:t>ii)</w:t>
      </w:r>
      <w:r>
        <w:rPr>
          <w:rFonts w:cs="Arial"/>
          <w:b/>
          <w:sz w:val="22"/>
          <w:szCs w:val="22"/>
        </w:rPr>
        <w:t xml:space="preserve"> </w:t>
      </w:r>
      <w:r w:rsidRPr="00F723A6">
        <w:rPr>
          <w:rFonts w:cs="Arial"/>
          <w:b/>
          <w:sz w:val="22"/>
          <w:szCs w:val="22"/>
        </w:rPr>
        <w:t>Varianta V</w:t>
      </w:r>
      <w:r w:rsidR="00546698">
        <w:rPr>
          <w:rFonts w:cs="Arial"/>
          <w:b/>
          <w:sz w:val="22"/>
          <w:szCs w:val="22"/>
        </w:rPr>
        <w:t> </w:t>
      </w:r>
      <w:r w:rsidRPr="00F723A6">
        <w:rPr>
          <w:rFonts w:cs="Arial"/>
          <w:b/>
          <w:sz w:val="22"/>
          <w:szCs w:val="22"/>
        </w:rPr>
        <w:t>– NKEP</w:t>
      </w:r>
      <w:r w:rsidRPr="00F723A6">
        <w:rPr>
          <w:rStyle w:val="Znakapoznpodarou"/>
          <w:rFonts w:cs="Arial"/>
          <w:b/>
          <w:sz w:val="22"/>
          <w:szCs w:val="22"/>
        </w:rPr>
        <w:footnoteReference w:id="17"/>
      </w:r>
      <w:r w:rsidRPr="00F723A6">
        <w:rPr>
          <w:rFonts w:cs="Arial"/>
          <w:sz w:val="22"/>
          <w:szCs w:val="22"/>
        </w:rPr>
        <w:t>: Tato varianta zohledňuje ve variantách (V - PA, V</w:t>
      </w:r>
      <w:r w:rsidR="00546698">
        <w:rPr>
          <w:rFonts w:cs="Arial"/>
          <w:sz w:val="22"/>
          <w:szCs w:val="22"/>
        </w:rPr>
        <w:t> </w:t>
      </w:r>
      <w:r w:rsidRPr="00F723A6">
        <w:rPr>
          <w:rFonts w:cs="Arial"/>
          <w:sz w:val="22"/>
          <w:szCs w:val="22"/>
        </w:rPr>
        <w:t>- BAU, V</w:t>
      </w:r>
      <w:r w:rsidR="00546698">
        <w:rPr>
          <w:rFonts w:cs="Arial"/>
          <w:sz w:val="22"/>
          <w:szCs w:val="22"/>
        </w:rPr>
        <w:t> </w:t>
      </w:r>
      <w:r w:rsidRPr="00F723A6">
        <w:rPr>
          <w:rFonts w:cs="Arial"/>
          <w:sz w:val="22"/>
          <w:szCs w:val="22"/>
        </w:rPr>
        <w:t xml:space="preserve">- BP) </w:t>
      </w:r>
      <w:r w:rsidRPr="00F723A6">
        <w:rPr>
          <w:rFonts w:cs="Arial"/>
          <w:i/>
          <w:sz w:val="22"/>
          <w:szCs w:val="22"/>
        </w:rPr>
        <w:t xml:space="preserve">Referenční scénář výroby pokročilého </w:t>
      </w:r>
      <w:r>
        <w:rPr>
          <w:rFonts w:cs="Arial"/>
          <w:i/>
          <w:sz w:val="22"/>
          <w:szCs w:val="22"/>
        </w:rPr>
        <w:t>biometan</w:t>
      </w:r>
      <w:r w:rsidRPr="00F723A6">
        <w:rPr>
          <w:rFonts w:cs="Arial"/>
          <w:i/>
          <w:sz w:val="22"/>
          <w:szCs w:val="22"/>
        </w:rPr>
        <w:t>u v</w:t>
      </w:r>
      <w:r w:rsidR="00546698">
        <w:rPr>
          <w:rFonts w:cs="Arial"/>
          <w:i/>
          <w:sz w:val="22"/>
          <w:szCs w:val="22"/>
        </w:rPr>
        <w:t> </w:t>
      </w:r>
      <w:r w:rsidRPr="00F723A6">
        <w:rPr>
          <w:rFonts w:cs="Arial"/>
          <w:i/>
          <w:sz w:val="22"/>
          <w:szCs w:val="22"/>
        </w:rPr>
        <w:t>období 2020-2030, s</w:t>
      </w:r>
      <w:r w:rsidR="00546698">
        <w:rPr>
          <w:rFonts w:cs="Arial"/>
          <w:i/>
          <w:sz w:val="22"/>
          <w:szCs w:val="22"/>
        </w:rPr>
        <w:t> </w:t>
      </w:r>
      <w:r w:rsidRPr="00F723A6">
        <w:rPr>
          <w:rFonts w:cs="Arial"/>
          <w:i/>
          <w:sz w:val="22"/>
          <w:szCs w:val="22"/>
        </w:rPr>
        <w:t>předpokládaným vývojem až do roku 2050 (potenciál v</w:t>
      </w:r>
      <w:r w:rsidR="00546698">
        <w:rPr>
          <w:rFonts w:cs="Arial"/>
          <w:i/>
          <w:sz w:val="22"/>
          <w:szCs w:val="22"/>
        </w:rPr>
        <w:t> </w:t>
      </w:r>
      <w:r w:rsidRPr="00F723A6">
        <w:rPr>
          <w:rFonts w:cs="Arial"/>
          <w:i/>
          <w:sz w:val="22"/>
          <w:szCs w:val="22"/>
        </w:rPr>
        <w:t>souladu s</w:t>
      </w:r>
      <w:r w:rsidR="00546698">
        <w:rPr>
          <w:rFonts w:cs="Arial"/>
          <w:i/>
          <w:sz w:val="22"/>
          <w:szCs w:val="22"/>
        </w:rPr>
        <w:t> </w:t>
      </w:r>
      <w:r w:rsidRPr="00F723A6">
        <w:rPr>
          <w:rFonts w:cs="Arial"/>
          <w:i/>
          <w:sz w:val="22"/>
          <w:szCs w:val="22"/>
        </w:rPr>
        <w:t xml:space="preserve">predikcemi MPO). </w:t>
      </w:r>
      <w:r w:rsidRPr="00F723A6">
        <w:rPr>
          <w:rFonts w:cs="Arial"/>
          <w:sz w:val="22"/>
          <w:szCs w:val="22"/>
        </w:rPr>
        <w:t xml:space="preserve">Předpokládaný potenciál výroby pokročilého </w:t>
      </w:r>
      <w:r>
        <w:rPr>
          <w:rFonts w:cs="Arial"/>
          <w:sz w:val="22"/>
          <w:szCs w:val="22"/>
        </w:rPr>
        <w:t>biometan</w:t>
      </w:r>
      <w:r w:rsidRPr="00F723A6">
        <w:rPr>
          <w:rFonts w:cs="Arial"/>
          <w:sz w:val="22"/>
          <w:szCs w:val="22"/>
        </w:rPr>
        <w:t>u v</w:t>
      </w:r>
      <w:r w:rsidR="00546698">
        <w:rPr>
          <w:rFonts w:cs="Arial"/>
          <w:sz w:val="22"/>
          <w:szCs w:val="22"/>
        </w:rPr>
        <w:t> </w:t>
      </w:r>
      <w:r w:rsidRPr="00F723A6">
        <w:rPr>
          <w:rFonts w:cs="Arial"/>
          <w:sz w:val="22"/>
          <w:szCs w:val="22"/>
        </w:rPr>
        <w:t>nových výrobnách nebo jeho nadvýroba resp. nová výroba ve stávajících výrobnách v</w:t>
      </w:r>
      <w:r w:rsidR="00546698">
        <w:rPr>
          <w:rFonts w:cs="Arial"/>
          <w:sz w:val="22"/>
          <w:szCs w:val="22"/>
        </w:rPr>
        <w:t> </w:t>
      </w:r>
      <w:r w:rsidRPr="00F723A6">
        <w:rPr>
          <w:rFonts w:cs="Arial"/>
          <w:sz w:val="22"/>
          <w:szCs w:val="22"/>
        </w:rPr>
        <w:t>období 2020 až 2030 s</w:t>
      </w:r>
      <w:r w:rsidR="00546698">
        <w:rPr>
          <w:rFonts w:cs="Arial"/>
          <w:sz w:val="22"/>
          <w:szCs w:val="22"/>
        </w:rPr>
        <w:t> </w:t>
      </w:r>
      <w:r w:rsidRPr="00F723A6">
        <w:rPr>
          <w:rFonts w:cs="Arial"/>
          <w:sz w:val="22"/>
          <w:szCs w:val="22"/>
        </w:rPr>
        <w:t>předpokládaným vývojem až do roku 2050 je uvedený v</w:t>
      </w:r>
      <w:r w:rsidR="00546698">
        <w:rPr>
          <w:rFonts w:cs="Arial"/>
          <w:sz w:val="22"/>
          <w:szCs w:val="22"/>
        </w:rPr>
        <w:t> </w:t>
      </w:r>
      <w:r w:rsidRPr="00F723A6">
        <w:rPr>
          <w:rFonts w:cs="Arial"/>
          <w:sz w:val="22"/>
          <w:szCs w:val="22"/>
        </w:rPr>
        <w:t>tab. č. 9.</w:t>
      </w:r>
      <w:r>
        <w:rPr>
          <w:rFonts w:cs="Arial"/>
          <w:i/>
          <w:sz w:val="22"/>
          <w:szCs w:val="22"/>
        </w:rPr>
        <w:t xml:space="preserve"> </w:t>
      </w:r>
      <w:r w:rsidRPr="00F723A6">
        <w:rPr>
          <w:rFonts w:cs="Arial"/>
          <w:sz w:val="22"/>
          <w:szCs w:val="22"/>
        </w:rPr>
        <w:t xml:space="preserve">Tato varianta odpovídá predikci objemů uvedených ve vnitrostátním plánu </w:t>
      </w:r>
      <w:r w:rsidRPr="00F723A6">
        <w:rPr>
          <w:rFonts w:cs="Arial"/>
          <w:sz w:val="22"/>
          <w:szCs w:val="22"/>
        </w:rPr>
        <w:lastRenderedPageBreak/>
        <w:t>pro oblast energetiky a</w:t>
      </w:r>
      <w:r w:rsidR="00546698">
        <w:rPr>
          <w:rFonts w:cs="Arial"/>
          <w:sz w:val="22"/>
          <w:szCs w:val="22"/>
        </w:rPr>
        <w:t> </w:t>
      </w:r>
      <w:r w:rsidRPr="00F723A6">
        <w:rPr>
          <w:rFonts w:cs="Arial"/>
          <w:sz w:val="22"/>
          <w:szCs w:val="22"/>
        </w:rPr>
        <w:t>klimatu a</w:t>
      </w:r>
      <w:r w:rsidR="00546698">
        <w:rPr>
          <w:rFonts w:cs="Arial"/>
          <w:i/>
          <w:sz w:val="22"/>
          <w:szCs w:val="22"/>
        </w:rPr>
        <w:t> </w:t>
      </w:r>
      <w:r w:rsidRPr="00F723A6">
        <w:rPr>
          <w:rFonts w:eastAsia="Calibri,Bold" w:cs="Arial"/>
          <w:sz w:val="22"/>
          <w:szCs w:val="22"/>
        </w:rPr>
        <w:t>plně respektuje zajištění sektorového cíle OZE v</w:t>
      </w:r>
      <w:r w:rsidR="00546698">
        <w:rPr>
          <w:rFonts w:eastAsia="Calibri,Bold" w:cs="Arial"/>
          <w:sz w:val="22"/>
          <w:szCs w:val="22"/>
        </w:rPr>
        <w:t> </w:t>
      </w:r>
      <w:r w:rsidRPr="00F723A6">
        <w:rPr>
          <w:rFonts w:eastAsia="Calibri,Bold" w:cs="Arial"/>
          <w:sz w:val="22"/>
          <w:szCs w:val="22"/>
        </w:rPr>
        <w:t>dopravě v</w:t>
      </w:r>
      <w:r w:rsidR="00546698">
        <w:rPr>
          <w:rFonts w:eastAsia="Calibri,Bold" w:cs="Arial"/>
          <w:sz w:val="22"/>
          <w:szCs w:val="22"/>
        </w:rPr>
        <w:t> </w:t>
      </w:r>
      <w:r w:rsidRPr="00F723A6">
        <w:rPr>
          <w:rFonts w:eastAsia="Calibri,Bold" w:cs="Arial"/>
          <w:sz w:val="22"/>
          <w:szCs w:val="22"/>
        </w:rPr>
        <w:t>ČR v</w:t>
      </w:r>
      <w:r w:rsidR="00546698">
        <w:rPr>
          <w:rFonts w:eastAsia="Calibri,Bold" w:cs="Arial"/>
          <w:sz w:val="22"/>
          <w:szCs w:val="22"/>
        </w:rPr>
        <w:t> </w:t>
      </w:r>
      <w:r w:rsidRPr="00F723A6">
        <w:rPr>
          <w:rFonts w:eastAsia="Calibri,Bold" w:cs="Arial"/>
          <w:sz w:val="22"/>
          <w:szCs w:val="22"/>
        </w:rPr>
        <w:t>souladu s</w:t>
      </w:r>
      <w:r w:rsidR="00546698">
        <w:rPr>
          <w:rFonts w:eastAsia="Calibri,Bold" w:cs="Arial"/>
          <w:sz w:val="22"/>
          <w:szCs w:val="22"/>
        </w:rPr>
        <w:t> </w:t>
      </w:r>
      <w:r w:rsidRPr="00F723A6">
        <w:rPr>
          <w:rFonts w:eastAsia="Calibri,Bold" w:cs="Arial"/>
          <w:sz w:val="22"/>
          <w:szCs w:val="22"/>
        </w:rPr>
        <w:t>tímto plánem.</w:t>
      </w:r>
    </w:p>
    <w:p w14:paraId="483B067F" w14:textId="77777777" w:rsidR="00C95FCA" w:rsidRPr="00C95FCA" w:rsidRDefault="00C95FCA" w:rsidP="00C95FCA"/>
    <w:p w14:paraId="1B75196B" w14:textId="77777777" w:rsidR="00C95FCA" w:rsidRDefault="00C95FCA" w:rsidP="00C95FCA">
      <w:pPr>
        <w:pStyle w:val="Titulek"/>
        <w:keepNext/>
        <w:jc w:val="both"/>
      </w:pPr>
      <w:bookmarkStart w:id="430" w:name="_Toc25230423"/>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16</w:t>
      </w:r>
      <w:r w:rsidR="001614BC">
        <w:rPr>
          <w:noProof/>
        </w:rPr>
        <w:fldChar w:fldCharType="end"/>
      </w:r>
      <w:r w:rsidRPr="00C95FCA">
        <w:t xml:space="preserve"> </w:t>
      </w:r>
      <w:r>
        <w:t>Graf p</w:t>
      </w:r>
      <w:r w:rsidRPr="003529E2">
        <w:t>redikc</w:t>
      </w:r>
      <w:r>
        <w:t>í</w:t>
      </w:r>
      <w:r w:rsidRPr="003529E2">
        <w:t xml:space="preserve"> objemů </w:t>
      </w:r>
      <w:r>
        <w:t>biometan</w:t>
      </w:r>
      <w:r w:rsidRPr="003529E2">
        <w:t>u v</w:t>
      </w:r>
      <w:r w:rsidR="00546698">
        <w:t> </w:t>
      </w:r>
      <w:r w:rsidRPr="003529E2">
        <w:t>mixu se zemním plynem (V – NKEP) pro V</w:t>
      </w:r>
      <w:r w:rsidR="00546698">
        <w:t> </w:t>
      </w:r>
      <w:r w:rsidRPr="003529E2">
        <w:t>– PA</w:t>
      </w:r>
      <w:bookmarkEnd w:id="430"/>
    </w:p>
    <w:p w14:paraId="765CEB32" w14:textId="77777777" w:rsidR="001B4719" w:rsidRPr="00735199" w:rsidRDefault="001B4719" w:rsidP="001B4719">
      <w:pPr>
        <w:jc w:val="both"/>
        <w:rPr>
          <w:rFonts w:asciiTheme="majorHAnsi" w:hAnsiTheme="majorHAnsi" w:cstheme="minorHAnsi"/>
          <w:b/>
          <w:sz w:val="20"/>
          <w:szCs w:val="20"/>
        </w:rPr>
      </w:pPr>
      <w:r w:rsidRPr="00735199">
        <w:rPr>
          <w:rFonts w:asciiTheme="majorHAnsi" w:hAnsiTheme="majorHAnsi" w:cstheme="minorHAnsi"/>
          <w:b/>
          <w:noProof/>
          <w:sz w:val="20"/>
          <w:szCs w:val="20"/>
        </w:rPr>
        <w:drawing>
          <wp:inline distT="0" distB="0" distL="0" distR="0" wp14:anchorId="10851D70" wp14:editId="5DC70756">
            <wp:extent cx="5760720" cy="2736000"/>
            <wp:effectExtent l="0" t="0" r="11430" b="26670"/>
            <wp:docPr id="87" name="Graf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5B7C862" w14:textId="77777777" w:rsidR="00C95FCA" w:rsidRPr="00C95FCA" w:rsidRDefault="001B4719" w:rsidP="00C95FCA">
      <w:pPr>
        <w:jc w:val="both"/>
      </w:pPr>
      <w:r w:rsidRPr="0050685D">
        <w:t>Zdroj:</w:t>
      </w:r>
      <w:r>
        <w:t xml:space="preserve"> </w:t>
      </w:r>
      <w:r w:rsidRPr="0050685D">
        <w:t>ČPS</w:t>
      </w:r>
    </w:p>
    <w:p w14:paraId="568F551B" w14:textId="77777777" w:rsidR="00C95FCA" w:rsidRDefault="00C95FCA" w:rsidP="00C95FCA">
      <w:pPr>
        <w:pStyle w:val="Titulek"/>
        <w:keepNext/>
        <w:jc w:val="both"/>
      </w:pPr>
      <w:bookmarkStart w:id="431" w:name="_Toc25230424"/>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17</w:t>
      </w:r>
      <w:r w:rsidR="001614BC">
        <w:rPr>
          <w:noProof/>
        </w:rPr>
        <w:fldChar w:fldCharType="end"/>
      </w:r>
      <w:r w:rsidRPr="00C95FCA">
        <w:t xml:space="preserve"> </w:t>
      </w:r>
      <w:r>
        <w:t>Graf predi</w:t>
      </w:r>
      <w:r w:rsidRPr="003529E2">
        <w:t>kc</w:t>
      </w:r>
      <w:r>
        <w:t>í</w:t>
      </w:r>
      <w:r w:rsidRPr="003529E2">
        <w:t xml:space="preserve"> objemů </w:t>
      </w:r>
      <w:r>
        <w:t>biometan</w:t>
      </w:r>
      <w:r w:rsidRPr="003529E2">
        <w:t>u v</w:t>
      </w:r>
      <w:r w:rsidR="00546698">
        <w:t> </w:t>
      </w:r>
      <w:r w:rsidRPr="003529E2">
        <w:t>mixu se zemním plynem (V – NKEP) pro V</w:t>
      </w:r>
      <w:r w:rsidR="00546698">
        <w:t> </w:t>
      </w:r>
      <w:r w:rsidRPr="003529E2">
        <w:t xml:space="preserve">– </w:t>
      </w:r>
      <w:r>
        <w:t>BAU</w:t>
      </w:r>
      <w:bookmarkEnd w:id="431"/>
    </w:p>
    <w:p w14:paraId="53C0D02A"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37714A2E" wp14:editId="10379BAF">
            <wp:extent cx="5760720" cy="2736000"/>
            <wp:effectExtent l="0" t="0" r="11430" b="26670"/>
            <wp:docPr id="88"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FEAF8E" w14:textId="77777777" w:rsidR="001B4719" w:rsidRPr="00C95FCA" w:rsidRDefault="001B4719" w:rsidP="00C95FCA">
      <w:pPr>
        <w:jc w:val="both"/>
        <w:rPr>
          <w:szCs w:val="20"/>
        </w:rPr>
      </w:pPr>
      <w:r w:rsidRPr="0050685D">
        <w:t>Zdroj:</w:t>
      </w:r>
      <w:r>
        <w:t xml:space="preserve"> </w:t>
      </w:r>
      <w:r w:rsidRPr="0050685D">
        <w:t>ČPS</w:t>
      </w:r>
    </w:p>
    <w:p w14:paraId="13A19B54" w14:textId="77777777" w:rsidR="00C95FCA" w:rsidRPr="00C95FCA" w:rsidRDefault="00C95FCA" w:rsidP="00C95FCA"/>
    <w:p w14:paraId="39D09698" w14:textId="77777777" w:rsidR="00C95FCA" w:rsidRDefault="00C95FCA" w:rsidP="00C95FCA">
      <w:pPr>
        <w:pStyle w:val="Titulek"/>
        <w:keepNext/>
        <w:jc w:val="both"/>
      </w:pPr>
      <w:bookmarkStart w:id="432" w:name="_Toc25230425"/>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18</w:t>
      </w:r>
      <w:r w:rsidR="001614BC">
        <w:rPr>
          <w:noProof/>
        </w:rPr>
        <w:fldChar w:fldCharType="end"/>
      </w:r>
      <w:r w:rsidRPr="00C95FCA">
        <w:t xml:space="preserve"> </w:t>
      </w:r>
      <w:r>
        <w:t>Graf p</w:t>
      </w:r>
      <w:r w:rsidRPr="003529E2">
        <w:t>redikc</w:t>
      </w:r>
      <w:r>
        <w:t>í</w:t>
      </w:r>
      <w:r w:rsidRPr="003529E2">
        <w:t xml:space="preserve"> objemů </w:t>
      </w:r>
      <w:r>
        <w:t>biometan</w:t>
      </w:r>
      <w:r w:rsidRPr="003529E2">
        <w:t>u v</w:t>
      </w:r>
      <w:r w:rsidR="00546698">
        <w:t> </w:t>
      </w:r>
      <w:r w:rsidRPr="003529E2">
        <w:t>mixu se zemním plynem (V – NKEP) pro V</w:t>
      </w:r>
      <w:r w:rsidR="00546698">
        <w:t> </w:t>
      </w:r>
      <w:r w:rsidRPr="003529E2">
        <w:t xml:space="preserve">– </w:t>
      </w:r>
      <w:r>
        <w:t>BP</w:t>
      </w:r>
      <w:bookmarkEnd w:id="432"/>
    </w:p>
    <w:p w14:paraId="122E1E16" w14:textId="77777777" w:rsidR="001B4719" w:rsidRPr="001F6118"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405C3B4D" wp14:editId="2D5BD1B0">
            <wp:extent cx="5760720" cy="2736000"/>
            <wp:effectExtent l="0" t="0" r="11430" b="26670"/>
            <wp:docPr id="89"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E44F5CE" w14:textId="77777777" w:rsidR="001B4719" w:rsidRDefault="001B4719" w:rsidP="001B4719">
      <w:pPr>
        <w:jc w:val="both"/>
      </w:pPr>
      <w:r w:rsidRPr="0050685D">
        <w:t>Zdroj:</w:t>
      </w:r>
      <w:r>
        <w:t xml:space="preserve"> </w:t>
      </w:r>
      <w:r w:rsidRPr="0050685D">
        <w:t>ČPS</w:t>
      </w:r>
    </w:p>
    <w:p w14:paraId="0696A214" w14:textId="77777777" w:rsidR="001B4719" w:rsidRPr="0050685D" w:rsidRDefault="001B4719" w:rsidP="001B4719">
      <w:pPr>
        <w:jc w:val="both"/>
      </w:pPr>
      <w:r w:rsidRPr="0050685D">
        <w:t xml:space="preserve">U varianty </w:t>
      </w:r>
      <w:r w:rsidRPr="0050685D">
        <w:rPr>
          <w:b/>
        </w:rPr>
        <w:t>V</w:t>
      </w:r>
      <w:r w:rsidR="00546698">
        <w:rPr>
          <w:b/>
        </w:rPr>
        <w:t> </w:t>
      </w:r>
      <w:r w:rsidRPr="0050685D">
        <w:rPr>
          <w:b/>
        </w:rPr>
        <w:t>- BAU</w:t>
      </w:r>
      <w:r w:rsidRPr="0050685D">
        <w:t xml:space="preserve"> lze v</w:t>
      </w:r>
      <w:r w:rsidR="00546698">
        <w:t> </w:t>
      </w:r>
      <w:r w:rsidRPr="0050685D">
        <w:t xml:space="preserve">roce </w:t>
      </w:r>
      <w:r w:rsidRPr="0050685D">
        <w:rPr>
          <w:b/>
        </w:rPr>
        <w:t>2040</w:t>
      </w:r>
      <w:r w:rsidRPr="0050685D">
        <w:t xml:space="preserve"> reálně předpokládat </w:t>
      </w:r>
      <w:r w:rsidRPr="0050685D">
        <w:rPr>
          <w:b/>
        </w:rPr>
        <w:t>100</w:t>
      </w:r>
      <w:r w:rsidR="002725B2">
        <w:rPr>
          <w:b/>
        </w:rPr>
        <w:t xml:space="preserve"> </w:t>
      </w:r>
      <w:r w:rsidRPr="0050685D">
        <w:rPr>
          <w:b/>
        </w:rPr>
        <w:t>%</w:t>
      </w:r>
      <w:r w:rsidRPr="0050685D">
        <w:t xml:space="preserve"> objemu </w:t>
      </w:r>
      <w:r>
        <w:t>biometan</w:t>
      </w:r>
      <w:r w:rsidRPr="0050685D">
        <w:t>u v</w:t>
      </w:r>
      <w:r w:rsidR="00546698">
        <w:t> </w:t>
      </w:r>
      <w:r w:rsidRPr="0050685D">
        <w:t>dopravě, kdežto u</w:t>
      </w:r>
      <w:r w:rsidR="00546698">
        <w:t> </w:t>
      </w:r>
      <w:r w:rsidRPr="0050685D">
        <w:t xml:space="preserve">varianty </w:t>
      </w:r>
      <w:r w:rsidRPr="0050685D">
        <w:rPr>
          <w:b/>
        </w:rPr>
        <w:t>V</w:t>
      </w:r>
      <w:r w:rsidR="00546698">
        <w:rPr>
          <w:b/>
        </w:rPr>
        <w:t> </w:t>
      </w:r>
      <w:r w:rsidRPr="0050685D">
        <w:rPr>
          <w:b/>
        </w:rPr>
        <w:t>- BP</w:t>
      </w:r>
      <w:r w:rsidRPr="0050685D">
        <w:t xml:space="preserve"> lze očekávat </w:t>
      </w:r>
      <w:r w:rsidRPr="0050685D">
        <w:rPr>
          <w:b/>
        </w:rPr>
        <w:t>100</w:t>
      </w:r>
      <w:r w:rsidR="002725B2">
        <w:rPr>
          <w:b/>
        </w:rPr>
        <w:t xml:space="preserve"> </w:t>
      </w:r>
      <w:r w:rsidRPr="0050685D">
        <w:rPr>
          <w:b/>
        </w:rPr>
        <w:t>%</w:t>
      </w:r>
      <w:r w:rsidRPr="0050685D">
        <w:t xml:space="preserve"> objemu </w:t>
      </w:r>
      <w:r>
        <w:t>biometan</w:t>
      </w:r>
      <w:r w:rsidRPr="0050685D">
        <w:t>u již v</w:t>
      </w:r>
      <w:r w:rsidR="00546698">
        <w:t> </w:t>
      </w:r>
      <w:r w:rsidRPr="0050685D">
        <w:t xml:space="preserve">roce </w:t>
      </w:r>
      <w:r w:rsidRPr="0050685D">
        <w:rPr>
          <w:b/>
        </w:rPr>
        <w:t>2030</w:t>
      </w:r>
      <w:r w:rsidRPr="0050685D">
        <w:t>.</w:t>
      </w:r>
    </w:p>
    <w:p w14:paraId="5BD47C41" w14:textId="77777777" w:rsidR="00C95FCA" w:rsidRPr="00C95FCA" w:rsidRDefault="001B4719" w:rsidP="00C95FCA">
      <w:pPr>
        <w:jc w:val="both"/>
      </w:pPr>
      <w:r w:rsidRPr="0050685D">
        <w:rPr>
          <w:b/>
        </w:rPr>
        <w:t>iii)</w:t>
      </w:r>
      <w:r>
        <w:rPr>
          <w:b/>
        </w:rPr>
        <w:t xml:space="preserve"> </w:t>
      </w:r>
      <w:r w:rsidRPr="0050685D">
        <w:rPr>
          <w:b/>
        </w:rPr>
        <w:t>Varianta (V - BioReal)</w:t>
      </w:r>
      <w:r w:rsidRPr="0050685D">
        <w:t xml:space="preserve">: Popisuje uplatnění pokročilého </w:t>
      </w:r>
      <w:r>
        <w:t>biometan</w:t>
      </w:r>
      <w:r w:rsidRPr="0050685D">
        <w:t>u v</w:t>
      </w:r>
      <w:r w:rsidR="00546698">
        <w:t> </w:t>
      </w:r>
      <w:r w:rsidRPr="0050685D">
        <w:t>mixu se zemním plynem (CNG/LNG) v</w:t>
      </w:r>
      <w:r w:rsidR="00546698">
        <w:t> </w:t>
      </w:r>
      <w:r w:rsidRPr="0050685D">
        <w:t>dopravě ve variantách (V - PA, V</w:t>
      </w:r>
      <w:r w:rsidR="00546698">
        <w:t> </w:t>
      </w:r>
      <w:r w:rsidRPr="0050685D">
        <w:t>- BAU, V</w:t>
      </w:r>
      <w:r w:rsidR="00546698">
        <w:t> </w:t>
      </w:r>
      <w:r w:rsidRPr="0050685D">
        <w:t xml:space="preserve">- BP), které zohledňují reálnější vývoj, spíše mírného nárůstu produkce </w:t>
      </w:r>
      <w:r>
        <w:t>biometan</w:t>
      </w:r>
      <w:r w:rsidRPr="0050685D">
        <w:t>u v</w:t>
      </w:r>
      <w:r w:rsidR="00546698">
        <w:t> </w:t>
      </w:r>
      <w:r w:rsidRPr="0050685D">
        <w:t>letech 2020 až 2026 a</w:t>
      </w:r>
      <w:r w:rsidR="00546698">
        <w:t> </w:t>
      </w:r>
      <w:r w:rsidRPr="0050685D">
        <w:t>masivnějšího nárůstu produkce od roku 2028, a</w:t>
      </w:r>
      <w:r w:rsidR="00546698">
        <w:t> </w:t>
      </w:r>
      <w:r w:rsidRPr="0050685D">
        <w:t xml:space="preserve">to vlivem postupného přecházení BPS na výrobny </w:t>
      </w:r>
      <w:r>
        <w:t>biometan</w:t>
      </w:r>
      <w:r w:rsidRPr="0050685D">
        <w:t>u. V</w:t>
      </w:r>
      <w:r w:rsidR="00546698">
        <w:t> </w:t>
      </w:r>
      <w:r w:rsidRPr="0050685D">
        <w:t>půlce dekády budou dobíhat většině BPS provozní podpory, a</w:t>
      </w:r>
      <w:r w:rsidR="00546698">
        <w:t> </w:t>
      </w:r>
      <w:r w:rsidRPr="0050685D">
        <w:t xml:space="preserve">které se následně budou moci zaměřit na výrobu </w:t>
      </w:r>
      <w:r>
        <w:t>biometan</w:t>
      </w:r>
      <w:r w:rsidRPr="0050685D">
        <w:t xml:space="preserve">u. Od roku 2027 lze předpokládat, že díky možnostem čerpat podporu na výrobu </w:t>
      </w:r>
      <w:r>
        <w:t>biometan</w:t>
      </w:r>
      <w:r w:rsidRPr="0050685D">
        <w:t>u bude v</w:t>
      </w:r>
      <w:r w:rsidR="00546698">
        <w:t> </w:t>
      </w:r>
      <w:r w:rsidRPr="0050685D">
        <w:t xml:space="preserve">ČR již počet výroben pokročilého </w:t>
      </w:r>
      <w:r>
        <w:t>biometan</w:t>
      </w:r>
      <w:r w:rsidRPr="0050685D">
        <w:t>u, které budou garantovat predikované objemy v</w:t>
      </w:r>
      <w:r w:rsidR="00546698">
        <w:t> </w:t>
      </w:r>
      <w:r w:rsidRPr="0050685D">
        <w:t>souladu s</w:t>
      </w:r>
      <w:r w:rsidR="00546698">
        <w:t> </w:t>
      </w:r>
      <w:r w:rsidRPr="0050685D">
        <w:t>variantou V</w:t>
      </w:r>
      <w:r w:rsidR="00546698">
        <w:t> </w:t>
      </w:r>
      <w:r w:rsidRPr="0050685D">
        <w:t>– NKEP tj. v</w:t>
      </w:r>
      <w:r w:rsidR="00546698">
        <w:t> </w:t>
      </w:r>
      <w:r w:rsidRPr="0050685D">
        <w:t>souladu s</w:t>
      </w:r>
      <w:r w:rsidR="00546698">
        <w:t> </w:t>
      </w:r>
      <w:r w:rsidRPr="0050685D">
        <w:t>Referenčním scénářem výroby.</w:t>
      </w:r>
    </w:p>
    <w:p w14:paraId="01AFC327" w14:textId="77777777" w:rsidR="00C95FCA" w:rsidRDefault="00C95FCA" w:rsidP="00C95FCA">
      <w:pPr>
        <w:pStyle w:val="Titulek"/>
        <w:keepNext/>
        <w:jc w:val="both"/>
      </w:pPr>
      <w:bookmarkStart w:id="433" w:name="_Toc25230426"/>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19</w:t>
      </w:r>
      <w:r w:rsidR="001614BC">
        <w:rPr>
          <w:noProof/>
        </w:rPr>
        <w:fldChar w:fldCharType="end"/>
      </w:r>
      <w:r w:rsidRPr="00C95FCA">
        <w:t xml:space="preserve"> </w:t>
      </w:r>
      <w:r>
        <w:t>Graf predikcí</w:t>
      </w:r>
      <w:r w:rsidRPr="00764757">
        <w:t xml:space="preserve"> objemů </w:t>
      </w:r>
      <w:r>
        <w:t>biometan</w:t>
      </w:r>
      <w:r w:rsidRPr="00764757">
        <w:t>u v</w:t>
      </w:r>
      <w:r w:rsidR="00546698">
        <w:t> </w:t>
      </w:r>
      <w:r w:rsidRPr="00764757">
        <w:t>mixu se zemním plynem (V – BioReal) pro V</w:t>
      </w:r>
      <w:r w:rsidR="00546698">
        <w:t> </w:t>
      </w:r>
      <w:r w:rsidRPr="00764757">
        <w:t>– PA</w:t>
      </w:r>
      <w:bookmarkEnd w:id="433"/>
    </w:p>
    <w:p w14:paraId="4EDE541B"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3688292D" wp14:editId="20A06DD4">
            <wp:extent cx="5760720" cy="2736000"/>
            <wp:effectExtent l="0" t="0" r="11430" b="26670"/>
            <wp:docPr id="90" name="Graf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24D7EB4" w14:textId="77777777" w:rsidR="001B4719" w:rsidRDefault="001B4719" w:rsidP="001B4719">
      <w:pPr>
        <w:jc w:val="both"/>
      </w:pPr>
      <w:r w:rsidRPr="0050685D">
        <w:t>Zdroj:</w:t>
      </w:r>
      <w:r>
        <w:t xml:space="preserve"> </w:t>
      </w:r>
      <w:r w:rsidRPr="0050685D">
        <w:t>ČPS</w:t>
      </w:r>
    </w:p>
    <w:p w14:paraId="3202A9A4" w14:textId="77777777" w:rsidR="00C95FCA" w:rsidRDefault="00C95FCA" w:rsidP="00C95FCA">
      <w:pPr>
        <w:pStyle w:val="Titulek"/>
        <w:keepNext/>
        <w:jc w:val="both"/>
      </w:pPr>
      <w:bookmarkStart w:id="434" w:name="_Toc25230427"/>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20</w:t>
      </w:r>
      <w:r w:rsidR="001614BC">
        <w:rPr>
          <w:noProof/>
        </w:rPr>
        <w:fldChar w:fldCharType="end"/>
      </w:r>
      <w:r w:rsidRPr="00C95FCA">
        <w:t xml:space="preserve"> </w:t>
      </w:r>
      <w:r>
        <w:t>Graf p</w:t>
      </w:r>
      <w:r w:rsidRPr="00764757">
        <w:t xml:space="preserve">redikce objemů </w:t>
      </w:r>
      <w:r>
        <w:t>biometan</w:t>
      </w:r>
      <w:r w:rsidRPr="00764757">
        <w:t>u v</w:t>
      </w:r>
      <w:r w:rsidR="00546698">
        <w:t> </w:t>
      </w:r>
      <w:r w:rsidRPr="00764757">
        <w:t>mixu se zemním plynem (V – BioReal) pro V</w:t>
      </w:r>
      <w:r w:rsidR="00546698">
        <w:t> </w:t>
      </w:r>
      <w:r w:rsidRPr="00764757">
        <w:t>– BAU</w:t>
      </w:r>
      <w:bookmarkEnd w:id="434"/>
    </w:p>
    <w:p w14:paraId="2B32C1C9"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45A2269F" wp14:editId="78B07BF9">
            <wp:extent cx="5760720" cy="2732147"/>
            <wp:effectExtent l="0" t="0" r="11430" b="11430"/>
            <wp:docPr id="91" name="Graf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5410141" w14:textId="77777777" w:rsidR="001B4719" w:rsidRDefault="001B4719" w:rsidP="001B4719">
      <w:pPr>
        <w:jc w:val="both"/>
      </w:pPr>
      <w:r w:rsidRPr="0050685D">
        <w:t>Zdroj:</w:t>
      </w:r>
      <w:r>
        <w:t xml:space="preserve"> </w:t>
      </w:r>
      <w:r w:rsidRPr="0050685D">
        <w:t>ČPS</w:t>
      </w:r>
    </w:p>
    <w:p w14:paraId="39D9EE29" w14:textId="77777777" w:rsidR="00C95FCA" w:rsidRDefault="00C95FCA" w:rsidP="00C95FCA">
      <w:pPr>
        <w:pStyle w:val="Titulek"/>
        <w:keepNext/>
        <w:jc w:val="both"/>
      </w:pPr>
      <w:bookmarkStart w:id="435" w:name="_Toc25230428"/>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21</w:t>
      </w:r>
      <w:r w:rsidR="001614BC">
        <w:rPr>
          <w:noProof/>
        </w:rPr>
        <w:fldChar w:fldCharType="end"/>
      </w:r>
      <w:r w:rsidRPr="00C95FCA">
        <w:t xml:space="preserve"> </w:t>
      </w:r>
      <w:r>
        <w:t>Graf p</w:t>
      </w:r>
      <w:r w:rsidRPr="00764757">
        <w:t>redikc</w:t>
      </w:r>
      <w:r>
        <w:t>í</w:t>
      </w:r>
      <w:r w:rsidRPr="00764757">
        <w:t xml:space="preserve"> objemů </w:t>
      </w:r>
      <w:r>
        <w:t>biometan</w:t>
      </w:r>
      <w:r w:rsidRPr="00764757">
        <w:t>u v</w:t>
      </w:r>
      <w:r w:rsidR="00546698">
        <w:t> </w:t>
      </w:r>
      <w:r w:rsidRPr="00764757">
        <w:t>mixu se zemním plynem (V – BioReal) pro V</w:t>
      </w:r>
      <w:r w:rsidR="00546698">
        <w:t> </w:t>
      </w:r>
      <w:r w:rsidRPr="00764757">
        <w:t>– B</w:t>
      </w:r>
      <w:r>
        <w:t>P</w:t>
      </w:r>
      <w:bookmarkEnd w:id="435"/>
    </w:p>
    <w:p w14:paraId="789262AC"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2590F3F9" wp14:editId="44EC5C51">
            <wp:extent cx="5760720" cy="2736000"/>
            <wp:effectExtent l="0" t="0" r="11430" b="26670"/>
            <wp:docPr id="92"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2E06123" w14:textId="77777777" w:rsidR="001B4719" w:rsidRPr="0050685D" w:rsidRDefault="001B4719" w:rsidP="001B4719">
      <w:pPr>
        <w:jc w:val="both"/>
      </w:pPr>
      <w:r w:rsidRPr="0050685D">
        <w:t>Zdroj:</w:t>
      </w:r>
      <w:r>
        <w:t xml:space="preserve"> </w:t>
      </w:r>
      <w:r w:rsidRPr="0050685D">
        <w:t>ČPS</w:t>
      </w:r>
    </w:p>
    <w:p w14:paraId="14FB50E9" w14:textId="77777777" w:rsidR="001B4719" w:rsidRPr="0050685D" w:rsidRDefault="001B4719" w:rsidP="001B4719">
      <w:pPr>
        <w:jc w:val="both"/>
      </w:pPr>
      <w:r w:rsidRPr="0050685D">
        <w:t xml:space="preserve">U varianty </w:t>
      </w:r>
      <w:r w:rsidRPr="0050685D">
        <w:rPr>
          <w:b/>
        </w:rPr>
        <w:t>V</w:t>
      </w:r>
      <w:r w:rsidR="00546698">
        <w:rPr>
          <w:b/>
        </w:rPr>
        <w:t> </w:t>
      </w:r>
      <w:r w:rsidRPr="0050685D">
        <w:rPr>
          <w:b/>
        </w:rPr>
        <w:t>- BAU</w:t>
      </w:r>
      <w:r w:rsidRPr="0050685D">
        <w:t xml:space="preserve"> lze v</w:t>
      </w:r>
      <w:r w:rsidR="00546698">
        <w:t> </w:t>
      </w:r>
      <w:r w:rsidRPr="0050685D">
        <w:t xml:space="preserve">roce </w:t>
      </w:r>
      <w:r w:rsidRPr="0050685D">
        <w:rPr>
          <w:b/>
        </w:rPr>
        <w:t>2040</w:t>
      </w:r>
      <w:r w:rsidRPr="0050685D">
        <w:t xml:space="preserve"> reálně předpokládat </w:t>
      </w:r>
      <w:r w:rsidRPr="0050685D">
        <w:rPr>
          <w:b/>
        </w:rPr>
        <w:t>100%</w:t>
      </w:r>
      <w:r w:rsidRPr="0050685D">
        <w:t xml:space="preserve"> objemu </w:t>
      </w:r>
      <w:r>
        <w:t>biometan</w:t>
      </w:r>
      <w:r w:rsidRPr="0050685D">
        <w:t>u v</w:t>
      </w:r>
      <w:r w:rsidR="00546698">
        <w:t> </w:t>
      </w:r>
      <w:r w:rsidRPr="0050685D">
        <w:t>dopravě, kdežto u</w:t>
      </w:r>
      <w:r w:rsidR="00546698">
        <w:t> </w:t>
      </w:r>
      <w:r w:rsidRPr="0050685D">
        <w:t xml:space="preserve">varianty </w:t>
      </w:r>
      <w:r w:rsidRPr="0050685D">
        <w:rPr>
          <w:b/>
        </w:rPr>
        <w:t>V</w:t>
      </w:r>
      <w:r w:rsidR="00546698">
        <w:rPr>
          <w:b/>
        </w:rPr>
        <w:t> </w:t>
      </w:r>
      <w:r w:rsidRPr="0050685D">
        <w:rPr>
          <w:b/>
        </w:rPr>
        <w:t>- BP</w:t>
      </w:r>
      <w:r w:rsidRPr="0050685D">
        <w:t xml:space="preserve"> lze očekávat </w:t>
      </w:r>
      <w:r w:rsidRPr="0050685D">
        <w:rPr>
          <w:b/>
        </w:rPr>
        <w:t>100%</w:t>
      </w:r>
      <w:r w:rsidRPr="0050685D">
        <w:t xml:space="preserve"> objemu </w:t>
      </w:r>
      <w:r>
        <w:t>biometan</w:t>
      </w:r>
      <w:r w:rsidRPr="0050685D">
        <w:t>u již v</w:t>
      </w:r>
      <w:r w:rsidR="00546698">
        <w:t> </w:t>
      </w:r>
      <w:r w:rsidRPr="0050685D">
        <w:t xml:space="preserve">roce </w:t>
      </w:r>
      <w:r w:rsidRPr="0050685D">
        <w:rPr>
          <w:b/>
        </w:rPr>
        <w:t>2030</w:t>
      </w:r>
      <w:r w:rsidRPr="0050685D">
        <w:t>.</w:t>
      </w:r>
    </w:p>
    <w:p w14:paraId="085BC248" w14:textId="77777777" w:rsidR="001B4719" w:rsidRPr="00F00B23" w:rsidRDefault="001B4719" w:rsidP="001B4719">
      <w:pPr>
        <w:pStyle w:val="Titulek"/>
        <w:jc w:val="both"/>
      </w:pPr>
    </w:p>
    <w:p w14:paraId="4338EA25" w14:textId="77777777" w:rsidR="006A06F0" w:rsidRDefault="006A06F0" w:rsidP="006A06F0">
      <w:pPr>
        <w:pStyle w:val="Titulek"/>
        <w:keepNext/>
        <w:jc w:val="both"/>
      </w:pPr>
      <w:bookmarkStart w:id="436" w:name="_Toc34295871"/>
      <w:r>
        <w:lastRenderedPageBreak/>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12</w:t>
      </w:r>
      <w:r w:rsidR="001614BC">
        <w:rPr>
          <w:noProof/>
        </w:rPr>
        <w:fldChar w:fldCharType="end"/>
      </w:r>
      <w:r w:rsidRPr="006A06F0">
        <w:t xml:space="preserve"> </w:t>
      </w:r>
      <w:r w:rsidRPr="00F00B23">
        <w:t xml:space="preserve">Objemy </w:t>
      </w:r>
      <w:r>
        <w:t>biometan</w:t>
      </w:r>
      <w:r w:rsidRPr="00F00B23">
        <w:t>u (m</w:t>
      </w:r>
      <w:r w:rsidRPr="00F00B23">
        <w:rPr>
          <w:vertAlign w:val="superscript"/>
        </w:rPr>
        <w:t>3</w:t>
      </w:r>
      <w:r w:rsidRPr="00F00B23">
        <w:t>) ve třech variantách (V – 14%, V</w:t>
      </w:r>
      <w:r w:rsidR="00546698">
        <w:t> </w:t>
      </w:r>
      <w:r w:rsidRPr="00F00B23">
        <w:t>– NKEP, V</w:t>
      </w:r>
      <w:r w:rsidR="00546698">
        <w:t> </w:t>
      </w:r>
      <w:r w:rsidRPr="00F00B23">
        <w:t>– BioReal) v</w:t>
      </w:r>
      <w:r w:rsidR="00546698">
        <w:t> </w:t>
      </w:r>
      <w:r w:rsidRPr="00F00B23">
        <w:t>mixu se zemním plynem</w:t>
      </w:r>
      <w:bookmarkEnd w:id="436"/>
    </w:p>
    <w:p w14:paraId="797B6ACD" w14:textId="77777777" w:rsidR="001B4719" w:rsidRDefault="001B4719" w:rsidP="001B4719">
      <w:pPr>
        <w:jc w:val="both"/>
        <w:rPr>
          <w:rFonts w:asciiTheme="majorHAnsi" w:hAnsiTheme="majorHAnsi" w:cstheme="minorHAnsi"/>
          <w:bCs/>
          <w:i/>
          <w:iCs/>
          <w:sz w:val="20"/>
        </w:rPr>
      </w:pPr>
      <w:r w:rsidRPr="00F00B23">
        <w:rPr>
          <w:noProof/>
        </w:rPr>
        <w:drawing>
          <wp:inline distT="0" distB="0" distL="0" distR="0" wp14:anchorId="3A9E667E" wp14:editId="69CECC28">
            <wp:extent cx="5760720" cy="2286635"/>
            <wp:effectExtent l="0" t="0" r="0" b="0"/>
            <wp:docPr id="93" name="Obrázek 5" descr="tab. -  spotřeba a objemy biometa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 -  spotřeba a objemy biometanu.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720" cy="2286635"/>
                    </a:xfrm>
                    <a:prstGeom prst="rect">
                      <a:avLst/>
                    </a:prstGeom>
                  </pic:spPr>
                </pic:pic>
              </a:graphicData>
            </a:graphic>
          </wp:inline>
        </w:drawing>
      </w:r>
    </w:p>
    <w:p w14:paraId="0EBD20C1" w14:textId="77777777" w:rsidR="001B4719" w:rsidRPr="00F00B23" w:rsidRDefault="001B4719" w:rsidP="001B4719">
      <w:pPr>
        <w:jc w:val="both"/>
        <w:rPr>
          <w:rFonts w:cs="Arial"/>
          <w:bCs/>
          <w:iCs/>
        </w:rPr>
      </w:pPr>
      <w:r>
        <w:rPr>
          <w:rFonts w:cs="Arial"/>
          <w:bCs/>
          <w:iCs/>
        </w:rPr>
        <w:t>Zdroj: ČPS</w:t>
      </w:r>
    </w:p>
    <w:p w14:paraId="089E3D58" w14:textId="77777777" w:rsidR="001B4719" w:rsidRPr="0050685D" w:rsidRDefault="001B4719" w:rsidP="001B4719">
      <w:pPr>
        <w:jc w:val="both"/>
        <w:rPr>
          <w:rFonts w:asciiTheme="majorHAnsi" w:hAnsiTheme="majorHAnsi" w:cstheme="minorHAnsi"/>
          <w:bCs/>
          <w:i/>
          <w:iCs/>
          <w:sz w:val="20"/>
        </w:rPr>
      </w:pPr>
      <w:r w:rsidRPr="0050685D">
        <w:rPr>
          <w:rFonts w:asciiTheme="majorHAnsi" w:hAnsiTheme="majorHAnsi" w:cstheme="minorHAnsi"/>
          <w:bCs/>
          <w:i/>
          <w:iCs/>
          <w:sz w:val="20"/>
        </w:rPr>
        <w:br w:type="page"/>
      </w:r>
    </w:p>
    <w:p w14:paraId="39A41968" w14:textId="42F8DC17" w:rsidR="001B4719" w:rsidRDefault="001B4719" w:rsidP="0030433F">
      <w:pPr>
        <w:pStyle w:val="Nadpis1"/>
      </w:pPr>
      <w:bookmarkStart w:id="437" w:name="_Toc18497442"/>
      <w:bookmarkStart w:id="438" w:name="_Toc18497443"/>
      <w:bookmarkStart w:id="439" w:name="_Toc19792358"/>
      <w:bookmarkStart w:id="440" w:name="_Ref20302771"/>
      <w:bookmarkStart w:id="441" w:name="_Ref20318937"/>
      <w:bookmarkStart w:id="442" w:name="_Toc25067658"/>
      <w:bookmarkStart w:id="443" w:name="_Toc25084486"/>
      <w:bookmarkStart w:id="444" w:name="_Toc25136816"/>
      <w:bookmarkStart w:id="445" w:name="_Toc13685907"/>
      <w:bookmarkStart w:id="446" w:name="_Toc13753804"/>
      <w:bookmarkStart w:id="447" w:name="_Toc34295941"/>
      <w:bookmarkEnd w:id="437"/>
      <w:bookmarkEnd w:id="438"/>
      <w:r>
        <w:lastRenderedPageBreak/>
        <w:t>Analytický materiál - v</w:t>
      </w:r>
      <w:r w:rsidRPr="004F707E">
        <w:t xml:space="preserve">odíková </w:t>
      </w:r>
      <w:r w:rsidR="00F908CA">
        <w:t>elektro</w:t>
      </w:r>
      <w:r w:rsidRPr="004F707E">
        <w:t xml:space="preserve">mobilita </w:t>
      </w:r>
      <w:r>
        <w:t>v</w:t>
      </w:r>
      <w:r w:rsidR="00546698">
        <w:t> </w:t>
      </w:r>
      <w:r>
        <w:t>rámci NAP CM</w:t>
      </w:r>
      <w:bookmarkEnd w:id="439"/>
      <w:bookmarkEnd w:id="440"/>
      <w:bookmarkEnd w:id="441"/>
      <w:bookmarkEnd w:id="442"/>
      <w:bookmarkEnd w:id="443"/>
      <w:bookmarkEnd w:id="444"/>
      <w:bookmarkEnd w:id="447"/>
    </w:p>
    <w:p w14:paraId="1FD2DF80" w14:textId="44DF03F9" w:rsidR="00F908CA" w:rsidRDefault="00F908CA" w:rsidP="001B4719">
      <w:pPr>
        <w:pStyle w:val="Nadpis2"/>
        <w:numPr>
          <w:ilvl w:val="1"/>
          <w:numId w:val="9"/>
        </w:numPr>
        <w:jc w:val="both"/>
      </w:pPr>
      <w:bookmarkStart w:id="448" w:name="_Toc13732609"/>
      <w:bookmarkStart w:id="449" w:name="_Toc19792360"/>
      <w:bookmarkStart w:id="450" w:name="_Ref20310316"/>
      <w:bookmarkStart w:id="451" w:name="_Ref20318962"/>
      <w:bookmarkStart w:id="452" w:name="_Ref20319013"/>
      <w:bookmarkStart w:id="453" w:name="_Ref21597736"/>
      <w:bookmarkStart w:id="454" w:name="_Toc25067659"/>
      <w:bookmarkStart w:id="455" w:name="_Toc25084487"/>
      <w:bookmarkStart w:id="456" w:name="_Toc25136817"/>
      <w:bookmarkStart w:id="457" w:name="_Toc34295942"/>
      <w:r>
        <w:t>Vymezení základních pojmů</w:t>
      </w:r>
      <w:bookmarkEnd w:id="457"/>
      <w:r>
        <w:t xml:space="preserve"> </w:t>
      </w:r>
    </w:p>
    <w:p w14:paraId="62D12375" w14:textId="775B4A56" w:rsidR="00F908CA" w:rsidRDefault="00F908CA" w:rsidP="009753AA">
      <w:pPr>
        <w:jc w:val="both"/>
        <w:rPr>
          <w:szCs w:val="22"/>
        </w:rPr>
      </w:pPr>
      <w:r w:rsidRPr="00F908CA">
        <w:rPr>
          <w:szCs w:val="22"/>
        </w:rPr>
        <w:t xml:space="preserve">V souvislosti s využíváním vodíku je především třeba upozornit na fakt, že i když v minulosti byly zkoušeny technologie založené na </w:t>
      </w:r>
      <w:r>
        <w:rPr>
          <w:szCs w:val="22"/>
        </w:rPr>
        <w:t xml:space="preserve">využívání </w:t>
      </w:r>
      <w:r w:rsidRPr="00F908CA">
        <w:rPr>
          <w:szCs w:val="22"/>
        </w:rPr>
        <w:t xml:space="preserve">vodíku </w:t>
      </w:r>
      <w:r>
        <w:rPr>
          <w:szCs w:val="22"/>
        </w:rPr>
        <w:t>ve spalovacím motoru</w:t>
      </w:r>
      <w:r w:rsidR="009753AA">
        <w:rPr>
          <w:rStyle w:val="Znakapoznpodarou"/>
          <w:szCs w:val="22"/>
        </w:rPr>
        <w:footnoteReference w:id="18"/>
      </w:r>
      <w:r>
        <w:rPr>
          <w:szCs w:val="22"/>
        </w:rPr>
        <w:t xml:space="preserve">, nakonec se coby nejefektivnější ukázala technologie založená na </w:t>
      </w:r>
      <w:r w:rsidR="009753AA">
        <w:rPr>
          <w:szCs w:val="22"/>
        </w:rPr>
        <w:t xml:space="preserve">využití vodíku v </w:t>
      </w:r>
      <w:r>
        <w:rPr>
          <w:szCs w:val="22"/>
        </w:rPr>
        <w:t>palivovém článku</w:t>
      </w:r>
      <w:r w:rsidR="009753AA">
        <w:rPr>
          <w:szCs w:val="22"/>
        </w:rPr>
        <w:t xml:space="preserve"> (</w:t>
      </w:r>
      <w:r w:rsidR="009753AA">
        <w:t xml:space="preserve">angl. fuel cell – FC, něm. </w:t>
      </w:r>
      <w:r w:rsidR="009753AA" w:rsidRPr="003E0D50">
        <w:t>Brennstoffzelle</w:t>
      </w:r>
      <w:r w:rsidR="009753AA">
        <w:t xml:space="preserve">). </w:t>
      </w:r>
      <w:r>
        <w:rPr>
          <w:szCs w:val="22"/>
        </w:rPr>
        <w:t xml:space="preserve"> </w:t>
      </w:r>
    </w:p>
    <w:p w14:paraId="4672ECDB" w14:textId="42DDBF92" w:rsidR="009753AA" w:rsidRDefault="009753AA" w:rsidP="009753AA">
      <w:pPr>
        <w:jc w:val="both"/>
        <w:rPr>
          <w:szCs w:val="22"/>
        </w:rPr>
      </w:pPr>
      <w:r>
        <w:t xml:space="preserve">Jak je mj. konstatováno ve </w:t>
      </w:r>
      <w:r w:rsidRPr="009753AA">
        <w:rPr>
          <w:szCs w:val="22"/>
        </w:rPr>
        <w:t>studii „</w:t>
      </w:r>
      <w:r w:rsidRPr="009753AA">
        <w:rPr>
          <w:i/>
          <w:szCs w:val="22"/>
        </w:rPr>
        <w:t>Využití vodíkového pohonu v dopravě v České republice</w:t>
      </w:r>
      <w:r w:rsidRPr="009753AA">
        <w:rPr>
          <w:szCs w:val="22"/>
        </w:rPr>
        <w:t>“</w:t>
      </w:r>
      <w:r>
        <w:rPr>
          <w:szCs w:val="22"/>
        </w:rPr>
        <w:t>, která byla zpracována pro MD v roce 2017 a vzatá v témže roce vládou ČR na vědomí, „p</w:t>
      </w:r>
      <w:r w:rsidRPr="009753AA">
        <w:rPr>
          <w:szCs w:val="22"/>
        </w:rPr>
        <w:t>alivový článek je míněno elektrochemické zařízení, ve kterém dochází k reakci přiváděného paliva (vodíku) a vzdušného kyslíku za vzniku elektrické energie. Takto vyrobená elektrická energie je využita v elektromotoru k pohonu vozidla</w:t>
      </w:r>
      <w:r>
        <w:rPr>
          <w:szCs w:val="22"/>
        </w:rPr>
        <w:t xml:space="preserve"> (viz obrázek níže)</w:t>
      </w:r>
      <w:r w:rsidRPr="009753AA">
        <w:rPr>
          <w:szCs w:val="22"/>
        </w:rPr>
        <w:t>. Z tohoto důvodu tvoří v celosvětovém kontextu vodíková mobilita podskupinu elektromobility.</w:t>
      </w:r>
      <w:r>
        <w:rPr>
          <w:szCs w:val="22"/>
        </w:rPr>
        <w:t xml:space="preserve">“ </w:t>
      </w:r>
    </w:p>
    <w:p w14:paraId="5F7FF4FC" w14:textId="0CD2F0F1" w:rsidR="009753AA" w:rsidRDefault="009753AA" w:rsidP="009753AA">
      <w:pPr>
        <w:rPr>
          <w:szCs w:val="22"/>
        </w:rPr>
      </w:pPr>
      <w:r>
        <w:rPr>
          <w:noProof/>
        </w:rPr>
        <w:drawing>
          <wp:inline distT="0" distB="0" distL="0" distR="0" wp14:anchorId="26D48F73" wp14:editId="44EA078A">
            <wp:extent cx="4661453" cy="2142183"/>
            <wp:effectExtent l="0" t="0" r="635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nda2_new.png"/>
                    <pic:cNvPicPr/>
                  </pic:nvPicPr>
                  <pic:blipFill rotWithShape="1">
                    <a:blip r:embed="rId38">
                      <a:extLst>
                        <a:ext uri="{28A0092B-C50C-407E-A947-70E740481C1C}">
                          <a14:useLocalDpi xmlns:a14="http://schemas.microsoft.com/office/drawing/2010/main" val="0"/>
                        </a:ext>
                      </a:extLst>
                    </a:blip>
                    <a:srcRect l="1984" r="30390" b="14328"/>
                    <a:stretch/>
                  </pic:blipFill>
                  <pic:spPr bwMode="auto">
                    <a:xfrm>
                      <a:off x="0" y="0"/>
                      <a:ext cx="4764173" cy="2189388"/>
                    </a:xfrm>
                    <a:prstGeom prst="rect">
                      <a:avLst/>
                    </a:prstGeom>
                    <a:ln>
                      <a:noFill/>
                    </a:ln>
                    <a:extLst>
                      <a:ext uri="{53640926-AAD7-44D8-BBD7-CCE9431645EC}">
                        <a14:shadowObscured xmlns:a14="http://schemas.microsoft.com/office/drawing/2010/main"/>
                      </a:ext>
                    </a:extLst>
                  </pic:spPr>
                </pic:pic>
              </a:graphicData>
            </a:graphic>
          </wp:inline>
        </w:drawing>
      </w:r>
    </w:p>
    <w:p w14:paraId="3AA84258" w14:textId="6F5B03B9" w:rsidR="00F908CA" w:rsidRPr="00F908CA" w:rsidRDefault="009753AA" w:rsidP="00F908CA">
      <w:pPr>
        <w:rPr>
          <w:szCs w:val="22"/>
        </w:rPr>
      </w:pPr>
      <w:r w:rsidRPr="009753AA">
        <w:rPr>
          <w:szCs w:val="22"/>
        </w:rPr>
        <w:t xml:space="preserve">Vozidla s vodíkovým elektrickým pohonem jsou označována jako „fuel cell electric vehicle“ (FCEV) za účelem odlišení od bateriových elektromobilů (BEV – battery electric vehicle). </w:t>
      </w:r>
      <w:r>
        <w:rPr>
          <w:szCs w:val="22"/>
        </w:rPr>
        <w:t xml:space="preserve">S ohledem na přítomnost elektrického motoru v </w:t>
      </w:r>
      <w:r w:rsidR="007369B6">
        <w:rPr>
          <w:szCs w:val="22"/>
        </w:rPr>
        <w:t xml:space="preserve">FCEV </w:t>
      </w:r>
      <w:r>
        <w:rPr>
          <w:szCs w:val="22"/>
        </w:rPr>
        <w:t>vozidle</w:t>
      </w:r>
      <w:r w:rsidR="007369B6">
        <w:rPr>
          <w:szCs w:val="22"/>
        </w:rPr>
        <w:t xml:space="preserve">, by však nemělo být problémem podřadit tento typ vozidla pod vozidlo s „elektrickým pohonem“, což je termín obsažený v zákoně o silniční dani, který v </w:t>
      </w:r>
      <w:r w:rsidR="007369B6">
        <w:rPr>
          <w:rFonts w:ascii="Calibri" w:hAnsi="Calibri" w:cs="Calibri"/>
          <w:szCs w:val="22"/>
        </w:rPr>
        <w:t>§</w:t>
      </w:r>
      <w:r w:rsidR="007369B6">
        <w:rPr>
          <w:szCs w:val="22"/>
        </w:rPr>
        <w:t xml:space="preserve"> 3 stanoví rozsah osvobození z placení této daně pro vybrané typy vozidel.   </w:t>
      </w:r>
      <w:r>
        <w:rPr>
          <w:szCs w:val="22"/>
        </w:rPr>
        <w:t xml:space="preserve">  </w:t>
      </w:r>
      <w:r w:rsidR="00F908CA">
        <w:rPr>
          <w:szCs w:val="22"/>
        </w:rPr>
        <w:t xml:space="preserve">  </w:t>
      </w:r>
      <w:r w:rsidR="00F908CA" w:rsidRPr="00F908CA">
        <w:rPr>
          <w:szCs w:val="22"/>
        </w:rPr>
        <w:t xml:space="preserve"> </w:t>
      </w:r>
    </w:p>
    <w:p w14:paraId="676F8CB6" w14:textId="653AE793" w:rsidR="001B4719" w:rsidRPr="004F707E" w:rsidRDefault="001B4719" w:rsidP="001B4719">
      <w:pPr>
        <w:pStyle w:val="Nadpis2"/>
        <w:numPr>
          <w:ilvl w:val="1"/>
          <w:numId w:val="9"/>
        </w:numPr>
        <w:jc w:val="both"/>
      </w:pPr>
      <w:bookmarkStart w:id="458" w:name="_Toc34295943"/>
      <w:r w:rsidRPr="004F707E">
        <w:t>Stručné vyhodnocení cílů původního NAP CM</w:t>
      </w:r>
      <w:bookmarkEnd w:id="448"/>
      <w:bookmarkEnd w:id="449"/>
      <w:bookmarkEnd w:id="450"/>
      <w:bookmarkEnd w:id="451"/>
      <w:bookmarkEnd w:id="452"/>
      <w:bookmarkEnd w:id="453"/>
      <w:bookmarkEnd w:id="454"/>
      <w:bookmarkEnd w:id="455"/>
      <w:bookmarkEnd w:id="456"/>
      <w:bookmarkEnd w:id="458"/>
    </w:p>
    <w:p w14:paraId="3D760B78" w14:textId="77777777" w:rsidR="001B4719" w:rsidRPr="004F707E" w:rsidRDefault="001B4719" w:rsidP="001B4719">
      <w:pPr>
        <w:jc w:val="both"/>
      </w:pPr>
      <w:r w:rsidRPr="004F707E">
        <w:t>V původním NAP CM byl vodíkové mobilitě věnován pouze omezený prostor. Bylo přitom konstatováno, že vodíkový pohon se sice zatím v</w:t>
      </w:r>
      <w:r w:rsidR="00546698">
        <w:t> </w:t>
      </w:r>
      <w:r w:rsidRPr="004F707E">
        <w:t>ČR nachází spíše v</w:t>
      </w:r>
      <w:r w:rsidR="00546698">
        <w:t> </w:t>
      </w:r>
      <w:r w:rsidRPr="004F707E">
        <w:t>demonstrační fázi, celosvětové a</w:t>
      </w:r>
      <w:r w:rsidR="00546698">
        <w:t> </w:t>
      </w:r>
      <w:r w:rsidRPr="004F707E">
        <w:t>celoevropské trendy však ukazují, že by v</w:t>
      </w:r>
      <w:r w:rsidR="00546698">
        <w:t> </w:t>
      </w:r>
      <w:r w:rsidRPr="004F707E">
        <w:t>této oblasti mohlo v</w:t>
      </w:r>
      <w:r w:rsidR="00546698">
        <w:t> </w:t>
      </w:r>
      <w:r w:rsidRPr="004F707E">
        <w:t>příštích 8-10 letech dojít k</w:t>
      </w:r>
      <w:r w:rsidR="00546698">
        <w:t> </w:t>
      </w:r>
      <w:r w:rsidRPr="004F707E">
        <w:t>přechodu do počáteční fáze komercializace. Z</w:t>
      </w:r>
      <w:r w:rsidR="00546698">
        <w:t> </w:t>
      </w:r>
      <w:r w:rsidRPr="004F707E">
        <w:t xml:space="preserve">tohoto důvodu již tento dokument konstatoval, že je třeba vyvíjet určité podpůrné aktivity </w:t>
      </w:r>
      <w:r w:rsidRPr="004F707E">
        <w:rPr>
          <w:bCs/>
        </w:rPr>
        <w:t>zaměřené např. na zvýšení spolehlivosti, snížení pořizovací ceny, provázání s</w:t>
      </w:r>
      <w:r w:rsidR="00546698">
        <w:rPr>
          <w:bCs/>
        </w:rPr>
        <w:t> </w:t>
      </w:r>
      <w:r w:rsidRPr="004F707E">
        <w:rPr>
          <w:bCs/>
        </w:rPr>
        <w:t>ostatními druhy alternativních paliv a</w:t>
      </w:r>
      <w:r w:rsidR="00546698">
        <w:rPr>
          <w:bCs/>
        </w:rPr>
        <w:t> </w:t>
      </w:r>
      <w:r w:rsidRPr="004F707E">
        <w:rPr>
          <w:bCs/>
        </w:rPr>
        <w:t xml:space="preserve">celkovou komercializací. Za </w:t>
      </w:r>
      <w:r w:rsidRPr="004F707E">
        <w:rPr>
          <w:bCs/>
          <w:u w:val="single"/>
        </w:rPr>
        <w:t>strategický cíl</w:t>
      </w:r>
      <w:r w:rsidRPr="004F707E">
        <w:rPr>
          <w:bCs/>
        </w:rPr>
        <w:t xml:space="preserve"> v</w:t>
      </w:r>
      <w:r w:rsidR="00546698">
        <w:rPr>
          <w:bCs/>
        </w:rPr>
        <w:t> </w:t>
      </w:r>
      <w:r w:rsidRPr="004F707E">
        <w:rPr>
          <w:bCs/>
        </w:rPr>
        <w:t xml:space="preserve">této oblasti bylo označeno </w:t>
      </w:r>
      <w:r w:rsidRPr="004F707E">
        <w:rPr>
          <w:bCs/>
          <w:u w:val="single"/>
        </w:rPr>
        <w:t>n</w:t>
      </w:r>
      <w:r w:rsidRPr="004F707E">
        <w:rPr>
          <w:u w:val="single"/>
        </w:rPr>
        <w:t>astartování rozvoje vodíkové technologie v</w:t>
      </w:r>
      <w:r w:rsidR="00546698">
        <w:rPr>
          <w:u w:val="single"/>
        </w:rPr>
        <w:t> </w:t>
      </w:r>
      <w:r w:rsidRPr="004F707E">
        <w:rPr>
          <w:u w:val="single"/>
        </w:rPr>
        <w:t>dopravě</w:t>
      </w:r>
      <w:r w:rsidRPr="004F707E">
        <w:t>. Byl rovněž stanoven specifický cíl ve vztahu k</w:t>
      </w:r>
      <w:r w:rsidR="00546698">
        <w:t> </w:t>
      </w:r>
      <w:r w:rsidRPr="004F707E">
        <w:t>rozvoji veřejně přístupných vodíkových plnicích stanic pro motorová vozidla do roku 2025. V</w:t>
      </w:r>
      <w:r w:rsidR="00546698">
        <w:t> </w:t>
      </w:r>
      <w:r w:rsidRPr="004F707E">
        <w:t xml:space="preserve">tomto směru původní NAP CM stanovil, že by </w:t>
      </w:r>
      <w:r w:rsidRPr="004F707E">
        <w:rPr>
          <w:u w:val="single"/>
        </w:rPr>
        <w:t>do roku 2025 mělo vzniknout minimálně 3-5 vodíkových stanic</w:t>
      </w:r>
      <w:r w:rsidRPr="004F707E">
        <w:t xml:space="preserve"> s</w:t>
      </w:r>
      <w:r w:rsidR="00546698">
        <w:t> </w:t>
      </w:r>
      <w:r w:rsidRPr="004F707E">
        <w:t>tím, že bylo konstatováno, že tento cíl může být v</w:t>
      </w:r>
      <w:r w:rsidR="00546698">
        <w:t> </w:t>
      </w:r>
      <w:r w:rsidRPr="004F707E">
        <w:t>rámci příští aktualizace NAP CM revidován v</w:t>
      </w:r>
      <w:r w:rsidR="00546698">
        <w:t> </w:t>
      </w:r>
      <w:r w:rsidRPr="004F707E">
        <w:t>návaznosti na přepokládanou studii zaměřenou na posouzení potenciálu pro využití vodíkového pohonu v</w:t>
      </w:r>
      <w:r w:rsidR="00546698">
        <w:t> </w:t>
      </w:r>
      <w:r w:rsidRPr="004F707E">
        <w:t xml:space="preserve">ČR. </w:t>
      </w:r>
    </w:p>
    <w:p w14:paraId="74A2BCE7" w14:textId="77777777" w:rsidR="001B4719" w:rsidRPr="004F707E" w:rsidRDefault="001B4719" w:rsidP="001B4719">
      <w:pPr>
        <w:jc w:val="both"/>
      </w:pPr>
      <w:r w:rsidRPr="004F707E">
        <w:t>Vznik takovéto studie lze označit za jednu z</w:t>
      </w:r>
      <w:r w:rsidR="00546698">
        <w:t> </w:t>
      </w:r>
      <w:r w:rsidRPr="004F707E">
        <w:t>nejkonkrétnějších aktivit, které byly zatím v</w:t>
      </w:r>
      <w:r w:rsidR="00546698">
        <w:t> </w:t>
      </w:r>
      <w:r w:rsidRPr="004F707E">
        <w:t>ČR ve vztahu k</w:t>
      </w:r>
      <w:r w:rsidR="00546698">
        <w:t> </w:t>
      </w:r>
      <w:r w:rsidRPr="004F707E">
        <w:t>vodíkové mobilitě provedeny. Studie s</w:t>
      </w:r>
      <w:r w:rsidR="00546698">
        <w:t> </w:t>
      </w:r>
      <w:r w:rsidRPr="004F707E">
        <w:t xml:space="preserve">názvem </w:t>
      </w:r>
      <w:r w:rsidRPr="004F707E">
        <w:rPr>
          <w:i/>
        </w:rPr>
        <w:t>Využití vodíkového pohonu v</w:t>
      </w:r>
      <w:r w:rsidR="00546698">
        <w:rPr>
          <w:i/>
        </w:rPr>
        <w:t> </w:t>
      </w:r>
      <w:r w:rsidRPr="004F707E">
        <w:rPr>
          <w:i/>
        </w:rPr>
        <w:t xml:space="preserve">dopravě </w:t>
      </w:r>
      <w:r w:rsidRPr="004F707E">
        <w:rPr>
          <w:i/>
        </w:rPr>
        <w:lastRenderedPageBreak/>
        <w:t>v</w:t>
      </w:r>
      <w:r w:rsidR="00546698">
        <w:rPr>
          <w:i/>
        </w:rPr>
        <w:t> </w:t>
      </w:r>
      <w:r w:rsidRPr="004F707E">
        <w:rPr>
          <w:i/>
        </w:rPr>
        <w:t>České republice</w:t>
      </w:r>
      <w:r w:rsidRPr="004F707E">
        <w:t xml:space="preserve"> byla zpracována v</w:t>
      </w:r>
      <w:r w:rsidR="00546698">
        <w:t> </w:t>
      </w:r>
      <w:r w:rsidRPr="004F707E">
        <w:t>roce 2017, přičemž se v</w:t>
      </w:r>
      <w:r w:rsidR="00546698">
        <w:t> </w:t>
      </w:r>
      <w:r w:rsidRPr="004F707E">
        <w:t>ní v</w:t>
      </w:r>
      <w:r w:rsidR="00546698">
        <w:t> </w:t>
      </w:r>
      <w:r w:rsidRPr="004F707E">
        <w:t>první řadě upozorňuje na skutečnost, že s</w:t>
      </w:r>
      <w:r w:rsidR="00546698">
        <w:t> </w:t>
      </w:r>
      <w:r w:rsidRPr="004F707E">
        <w:t>ohledem na zkušenosti ze zahraničí a</w:t>
      </w:r>
      <w:r w:rsidR="00546698">
        <w:t> </w:t>
      </w:r>
      <w:r w:rsidRPr="004F707E">
        <w:t xml:space="preserve">na základě vyjádření zainteresovaných subjektů je žádoucí, aby byla stanovena </w:t>
      </w:r>
      <w:r w:rsidRPr="004F707E">
        <w:rPr>
          <w:b/>
        </w:rPr>
        <w:t xml:space="preserve">jednoznačná vize ve formě jasně definované koncepce vládní podpory vodíkové mobility. </w:t>
      </w:r>
      <w:r w:rsidRPr="004F707E">
        <w:t>V</w:t>
      </w:r>
      <w:r w:rsidR="00546698">
        <w:t> </w:t>
      </w:r>
      <w:r w:rsidRPr="004F707E">
        <w:t>rámci této aktualizace NAP CM je proto vhodné provést výrazné rozšíření části tohoto dokumentu, která se týká vodíkové mobility a</w:t>
      </w:r>
      <w:r w:rsidR="00546698">
        <w:t> </w:t>
      </w:r>
      <w:r w:rsidRPr="004F707E">
        <w:t>zohlednit tak zde hlavní doporučení vyplývající z</w:t>
      </w:r>
      <w:r w:rsidR="00546698">
        <w:t> </w:t>
      </w:r>
      <w:r w:rsidRPr="004F707E">
        <w:t xml:space="preserve">této studie. </w:t>
      </w:r>
    </w:p>
    <w:p w14:paraId="2235E09B" w14:textId="77777777" w:rsidR="001B4719" w:rsidRPr="004F707E" w:rsidRDefault="001B4719" w:rsidP="001B4719">
      <w:pPr>
        <w:jc w:val="both"/>
      </w:pPr>
      <w:r w:rsidRPr="004F707E">
        <w:t>S ohledem na úzkou vazbu mezi rozvojem bateriové elektromobility a</w:t>
      </w:r>
      <w:r w:rsidR="00546698">
        <w:t> </w:t>
      </w:r>
      <w:r w:rsidRPr="004F707E">
        <w:t>technologie palivových článků původní NAP CM též konstatuje, že je žádoucí, aby se na vozidla na palivové články (FCEV) vztahovala řada opatření koncipována primárně v</w:t>
      </w:r>
      <w:r w:rsidR="00546698">
        <w:t> </w:t>
      </w:r>
      <w:r w:rsidRPr="004F707E">
        <w:t>zájmu rozvoje bateriové elektromobility. Z</w:t>
      </w:r>
      <w:r w:rsidR="00546698">
        <w:t> </w:t>
      </w:r>
      <w:r w:rsidRPr="004F707E">
        <w:t>opatření v</w:t>
      </w:r>
      <w:r w:rsidR="00546698">
        <w:t> </w:t>
      </w:r>
      <w:r w:rsidRPr="004F707E">
        <w:t>této oblasti, které se doposud podařilo zrealizovat, lze zmínit v</w:t>
      </w:r>
      <w:r w:rsidR="00546698">
        <w:t> </w:t>
      </w:r>
      <w:r w:rsidRPr="004F707E">
        <w:t>první řadě zahrnutí FCEV mezi vozidla, kterým bude od dubna 2019 vydávána speciální registrační značka pro elektrická vozidla. Účelem této speciální značky je umožnit, aby mohli uživatelé těchto vozidel v</w:t>
      </w:r>
      <w:r w:rsidR="00546698">
        <w:t> </w:t>
      </w:r>
      <w:r w:rsidRPr="004F707E">
        <w:t>budoucnosti čerpat určité specifické výhody, ať už jde o</w:t>
      </w:r>
      <w:r w:rsidR="00546698">
        <w:t> </w:t>
      </w:r>
      <w:r w:rsidRPr="004F707E">
        <w:t>bezplatné parkování ve městech či jízdu v</w:t>
      </w:r>
      <w:r w:rsidR="00546698">
        <w:t> </w:t>
      </w:r>
      <w:r w:rsidRPr="004F707E">
        <w:t xml:space="preserve">preferenčních jízdních pruzích. </w:t>
      </w:r>
    </w:p>
    <w:p w14:paraId="07F6695D" w14:textId="77777777" w:rsidR="001B4719" w:rsidRPr="004F707E" w:rsidRDefault="001B4719" w:rsidP="001B4719">
      <w:pPr>
        <w:jc w:val="both"/>
      </w:pPr>
      <w:r w:rsidRPr="004F707E">
        <w:t>FCEV vozidla byla rovněž zahrnuta do působnosti novely zákona o</w:t>
      </w:r>
      <w:r w:rsidR="00546698">
        <w:t> </w:t>
      </w:r>
      <w:r w:rsidRPr="004F707E">
        <w:t xml:space="preserve">pozemních komunikacích, na základě které všechna elektrická vozidla (tedy včetně FCEV) </w:t>
      </w:r>
      <w:r>
        <w:t xml:space="preserve">budou </w:t>
      </w:r>
      <w:r w:rsidRPr="004F707E">
        <w:t xml:space="preserve">od roku 2020 osvobozena od placení dálniční známky. </w:t>
      </w:r>
    </w:p>
    <w:p w14:paraId="1334BA1A" w14:textId="77777777" w:rsidR="001B4719" w:rsidRPr="004F707E" w:rsidRDefault="001B4719" w:rsidP="001B4719">
      <w:pPr>
        <w:jc w:val="both"/>
      </w:pPr>
      <w:r w:rsidRPr="004F707E">
        <w:t>Princip technologické neutrality pokud jde o</w:t>
      </w:r>
      <w:r w:rsidR="00546698">
        <w:t> </w:t>
      </w:r>
      <w:r w:rsidRPr="004F707E">
        <w:t>srovnatelnou míru podpory bateriové a</w:t>
      </w:r>
      <w:r w:rsidR="00546698">
        <w:t> </w:t>
      </w:r>
      <w:r w:rsidRPr="004F707E">
        <w:t>vodíkové elektromobility byl v</w:t>
      </w:r>
      <w:r w:rsidR="00546698">
        <w:t> </w:t>
      </w:r>
      <w:r w:rsidRPr="004F707E">
        <w:t>zásadě uplatněn i</w:t>
      </w:r>
      <w:r w:rsidR="00546698">
        <w:t> </w:t>
      </w:r>
      <w:r w:rsidRPr="004F707E">
        <w:t>u</w:t>
      </w:r>
      <w:r>
        <w:t> </w:t>
      </w:r>
      <w:r w:rsidRPr="004F707E">
        <w:t>dotačního programu zaměřeného na podporu autobusů na alternativní paliva, byť k</w:t>
      </w:r>
      <w:r w:rsidR="00546698">
        <w:t> </w:t>
      </w:r>
      <w:r w:rsidRPr="004F707E">
        <w:t xml:space="preserve">lednu 2019 nebyla zatím podána žádná žádost týkající se nákupu vodíkových autobusů. </w:t>
      </w:r>
    </w:p>
    <w:p w14:paraId="68D43C74" w14:textId="77777777" w:rsidR="001B4719" w:rsidRPr="004F707E" w:rsidRDefault="001B4719" w:rsidP="001B4719">
      <w:pPr>
        <w:jc w:val="both"/>
      </w:pPr>
      <w:r w:rsidRPr="004F707E">
        <w:t>Hlavním problémem, proč se vodíková mobilita zatím v</w:t>
      </w:r>
      <w:r w:rsidR="00546698">
        <w:t> </w:t>
      </w:r>
      <w:r w:rsidRPr="004F707E">
        <w:t>ČR v</w:t>
      </w:r>
      <w:r w:rsidR="00546698">
        <w:t> </w:t>
      </w:r>
      <w:r w:rsidRPr="004F707E">
        <w:t>zásadě nerozvinula, je neexistující infrastruktura veřejně přístupných vodíkových plnících stanic. Na tento aspekt upozorňuje i</w:t>
      </w:r>
      <w:r w:rsidR="00546698">
        <w:t> </w:t>
      </w:r>
      <w:r w:rsidRPr="004F707E">
        <w:t>zmiňovaná „vodíková“ studie, když připomíná, že uhrazení nákladů na vytvoření této infrastruktury nelze minimálně v</w:t>
      </w:r>
      <w:r w:rsidR="00546698">
        <w:t> </w:t>
      </w:r>
      <w:r w:rsidRPr="004F707E">
        <w:t>prvotní fázi očekávat výhradně ze strany soukromých subjektů. Je proto žádoucí, aby stát aktivně podporoval výstavbu jak veřejných plnicích stanic pro běžné občany, tak neveřejnou část vodíkové infrastruktury pro veřejnou hromadnou dopravu či komunální služby.</w:t>
      </w:r>
    </w:p>
    <w:p w14:paraId="31201325" w14:textId="77777777" w:rsidR="001B4719" w:rsidRPr="004F707E" w:rsidRDefault="001B4719" w:rsidP="001B4719">
      <w:pPr>
        <w:jc w:val="both"/>
      </w:pPr>
      <w:r w:rsidRPr="004F707E">
        <w:t>Výše uvedený problém by měl být v</w:t>
      </w:r>
      <w:r w:rsidR="00546698">
        <w:t> </w:t>
      </w:r>
      <w:r w:rsidRPr="004F707E">
        <w:t>brzké době odstraněn v</w:t>
      </w:r>
      <w:r w:rsidR="00546698">
        <w:t> </w:t>
      </w:r>
      <w:r w:rsidRPr="004F707E">
        <w:t>návaznosti na realizaci dotačního programu zaměřeného na podporu vodíkových plnících stanic. Objem finančních prostředků na tento program byl přitom oproti původnímu plánu dokonce navýšen na dvojnásobek, a</w:t>
      </w:r>
      <w:r w:rsidR="00546698">
        <w:t> </w:t>
      </w:r>
      <w:r w:rsidRPr="004F707E">
        <w:t>to právě v</w:t>
      </w:r>
      <w:r w:rsidR="00546698">
        <w:t> </w:t>
      </w:r>
      <w:r w:rsidRPr="004F707E">
        <w:t>reakci na jedno z</w:t>
      </w:r>
      <w:r w:rsidR="00546698">
        <w:t> </w:t>
      </w:r>
      <w:r w:rsidRPr="004F707E">
        <w:t>doporučení výše uvedené studie. Do roku 2021 by tak měly vzniknout minimálně 4 vodíkové stanice, a</w:t>
      </w:r>
      <w:r w:rsidR="00546698">
        <w:t> </w:t>
      </w:r>
      <w:r w:rsidRPr="004F707E">
        <w:t>to v</w:t>
      </w:r>
      <w:r w:rsidR="00546698">
        <w:t> </w:t>
      </w:r>
      <w:r w:rsidRPr="004F707E">
        <w:t>lokalitách Praha, Brno, Ostrava a</w:t>
      </w:r>
      <w:r w:rsidR="00546698">
        <w:t> </w:t>
      </w:r>
      <w:r w:rsidRPr="004F707E">
        <w:t>Litvínov, což by mělo zaručit zcela minimalistické základní pokrytí ČR. S</w:t>
      </w:r>
      <w:r w:rsidR="00546698">
        <w:t> </w:t>
      </w:r>
      <w:r w:rsidRPr="004F707E">
        <w:t>ohledem na minimální míru rozvoje vodíkové mobility v</w:t>
      </w:r>
      <w:r w:rsidR="00546698">
        <w:t> </w:t>
      </w:r>
      <w:r w:rsidRPr="004F707E">
        <w:t>ČR bylo přitom stanoveno, že žadatelé v</w:t>
      </w:r>
      <w:r w:rsidR="00546698">
        <w:t> </w:t>
      </w:r>
      <w:r w:rsidRPr="004F707E">
        <w:t>této oblasti budou moci těžit z</w:t>
      </w:r>
      <w:r w:rsidR="00546698">
        <w:t> </w:t>
      </w:r>
      <w:r w:rsidRPr="004F707E">
        <w:t>velmi příznivých podmínek, pokud jde o</w:t>
      </w:r>
      <w:r w:rsidR="00546698">
        <w:t> </w:t>
      </w:r>
      <w:r w:rsidRPr="004F707E">
        <w:t>maximální míru spolufinancování z</w:t>
      </w:r>
      <w:r w:rsidR="00546698">
        <w:t> </w:t>
      </w:r>
      <w:r w:rsidRPr="004F707E">
        <w:t>prostředků EU. Ta byla nastavena na úroveň 85 %, což je o</w:t>
      </w:r>
      <w:r w:rsidR="00546698">
        <w:t> </w:t>
      </w:r>
      <w:r w:rsidRPr="004F707E">
        <w:t>15 % více než v</w:t>
      </w:r>
      <w:r w:rsidR="00546698">
        <w:t> </w:t>
      </w:r>
      <w:r w:rsidRPr="004F707E">
        <w:t xml:space="preserve">případě podpory rozvoje dobíjecích stanic. </w:t>
      </w:r>
    </w:p>
    <w:p w14:paraId="368B4696" w14:textId="77777777" w:rsidR="001B4719" w:rsidRPr="004F707E" w:rsidRDefault="001B4719" w:rsidP="001B4719">
      <w:pPr>
        <w:jc w:val="both"/>
      </w:pPr>
      <w:r w:rsidRPr="004F707E">
        <w:t>Původní NAP CM rovněž konstatoval, že by bylo záhodno u</w:t>
      </w:r>
      <w:r w:rsidRPr="004F707E">
        <w:rPr>
          <w:bCs/>
        </w:rPr>
        <w:t xml:space="preserve">važovat </w:t>
      </w:r>
      <w:r w:rsidRPr="004F707E">
        <w:t>o</w:t>
      </w:r>
      <w:r w:rsidR="00546698">
        <w:t> </w:t>
      </w:r>
      <w:r w:rsidRPr="004F707E">
        <w:t>nasazení flotil vodíkových autobusů, příp. lehčích nákladních vozů v</w:t>
      </w:r>
      <w:r w:rsidR="00546698">
        <w:t> </w:t>
      </w:r>
      <w:r w:rsidRPr="004F707E">
        <w:t>centrech velkých měst s</w:t>
      </w:r>
      <w:r w:rsidR="00546698">
        <w:t> </w:t>
      </w:r>
      <w:r w:rsidRPr="004F707E">
        <w:t>tím, že cílem by mohl být vznik tzv. vodíkových regionů. I</w:t>
      </w:r>
      <w:r w:rsidR="00546698">
        <w:t> </w:t>
      </w:r>
      <w:r w:rsidRPr="004F707E">
        <w:t>v</w:t>
      </w:r>
      <w:r>
        <w:t> </w:t>
      </w:r>
      <w:r w:rsidRPr="004F707E">
        <w:t>tomto ohledu lze konstatovat jistý, byť zatím velmi omezený posun kupředu. Za zmínku stojí především zájem města Ostravy resp. Moravskoslezského kraje (MSK) rozvíjet vodíkovou mobilitu v</w:t>
      </w:r>
      <w:r w:rsidR="00546698">
        <w:t> </w:t>
      </w:r>
      <w:r w:rsidRPr="004F707E">
        <w:t>rámci městské a</w:t>
      </w:r>
      <w:r w:rsidR="00546698">
        <w:t> </w:t>
      </w:r>
      <w:r w:rsidRPr="004F707E">
        <w:t>meziměstské autobusové dopravy. V</w:t>
      </w:r>
      <w:r w:rsidR="00546698">
        <w:t> </w:t>
      </w:r>
      <w:r w:rsidRPr="004F707E">
        <w:t xml:space="preserve">tomto směru byl zaznamenán záměr projektu na zpracování studie, která by se měla zabývat </w:t>
      </w:r>
      <w:r w:rsidRPr="004F707E">
        <w:rPr>
          <w:color w:val="000000" w:themeColor="text1"/>
        </w:rPr>
        <w:t>potenciálem využití vodíkových technologií pro transformaci energetického mixu Moravskoslezského kraje, nízkouhlíkové energetiky a</w:t>
      </w:r>
      <w:r w:rsidR="00546698">
        <w:rPr>
          <w:color w:val="000000" w:themeColor="text1"/>
        </w:rPr>
        <w:t> </w:t>
      </w:r>
      <w:r w:rsidRPr="004F707E">
        <w:rPr>
          <w:color w:val="000000" w:themeColor="text1"/>
        </w:rPr>
        <w:t xml:space="preserve">rozvoj nízkoemisní dopravy. Tato studie by měla umožnit </w:t>
      </w:r>
      <w:r w:rsidRPr="004F707E">
        <w:t>nastartovat rozvoj MSK jakožto “vodíkového regionu”, což je plně v</w:t>
      </w:r>
      <w:r w:rsidR="00546698">
        <w:t> </w:t>
      </w:r>
      <w:r w:rsidRPr="004F707E">
        <w:t>souladu s</w:t>
      </w:r>
      <w:r w:rsidR="00546698">
        <w:t> </w:t>
      </w:r>
      <w:r w:rsidRPr="004F707E">
        <w:t>výše uvedenou představou NAP CM.</w:t>
      </w:r>
    </w:p>
    <w:p w14:paraId="181FC1A9" w14:textId="77777777" w:rsidR="001B4719" w:rsidRPr="004F707E" w:rsidRDefault="001B4719" w:rsidP="001B4719">
      <w:pPr>
        <w:jc w:val="both"/>
      </w:pPr>
      <w:r w:rsidRPr="004F707E">
        <w:t>Aktivní jsou však i</w:t>
      </w:r>
      <w:r w:rsidR="00546698">
        <w:t> </w:t>
      </w:r>
      <w:r w:rsidRPr="004F707E">
        <w:t>další města a</w:t>
      </w:r>
      <w:r w:rsidR="00546698">
        <w:t> </w:t>
      </w:r>
      <w:r w:rsidRPr="004F707E">
        <w:t>regiony: Ústí nad Labem resp. Ústecký kraj (snaha o</w:t>
      </w:r>
      <w:r w:rsidR="00546698">
        <w:t> </w:t>
      </w:r>
      <w:r w:rsidRPr="004F707E">
        <w:t>využití vodíku jako vedlejšího produktu z</w:t>
      </w:r>
      <w:r w:rsidR="00546698">
        <w:t> </w:t>
      </w:r>
      <w:r w:rsidRPr="004F707E">
        <w:t>chemických výrob v</w:t>
      </w:r>
      <w:r w:rsidR="00546698">
        <w:t> </w:t>
      </w:r>
      <w:r w:rsidRPr="004F707E">
        <w:t>autobusové dopravě), Praha a</w:t>
      </w:r>
      <w:r w:rsidR="00546698">
        <w:t> </w:t>
      </w:r>
      <w:r w:rsidRPr="004F707E">
        <w:t>Středočeský kraj (autobusová a</w:t>
      </w:r>
      <w:r w:rsidR="00546698">
        <w:t> </w:t>
      </w:r>
      <w:r w:rsidRPr="004F707E">
        <w:t>lodní doprava).</w:t>
      </w:r>
    </w:p>
    <w:p w14:paraId="155529B8" w14:textId="77777777" w:rsidR="001B4719" w:rsidRPr="004F707E" w:rsidRDefault="001B4719" w:rsidP="001B4719">
      <w:pPr>
        <w:jc w:val="both"/>
      </w:pPr>
      <w:r w:rsidRPr="004F707E">
        <w:t>Z hlediska výzkumu a</w:t>
      </w:r>
      <w:r w:rsidR="00546698">
        <w:t> </w:t>
      </w:r>
      <w:r w:rsidRPr="004F707E">
        <w:t>vývoje v</w:t>
      </w:r>
      <w:r w:rsidR="00546698">
        <w:t> </w:t>
      </w:r>
      <w:r w:rsidRPr="004F707E">
        <w:t>oblasti palivových článků a</w:t>
      </w:r>
      <w:r w:rsidR="00546698">
        <w:t> </w:t>
      </w:r>
      <w:r w:rsidRPr="004F707E">
        <w:t xml:space="preserve">vodíkových technologií je nejvýraznější aktivita soustředěna do středočeské Řeže, kde společnosti Skupiny ÚJV koordinují nebo se spolupodílí na celé řadě výzkumných projektů. </w:t>
      </w:r>
    </w:p>
    <w:p w14:paraId="7F2E2998" w14:textId="77777777" w:rsidR="001B4719" w:rsidRPr="004F707E" w:rsidRDefault="001B4719" w:rsidP="001B4719">
      <w:pPr>
        <w:jc w:val="both"/>
        <w:rPr>
          <w:b/>
        </w:rPr>
      </w:pPr>
      <w:r w:rsidRPr="004F707E">
        <w:lastRenderedPageBreak/>
        <w:t>Přes výše uvedené je třeba konstatovat, že se cíl NAP CM ve vztahu k</w:t>
      </w:r>
      <w:r w:rsidR="00546698">
        <w:t> </w:t>
      </w:r>
      <w:r w:rsidRPr="004F707E">
        <w:t>vodíkové mobilitě daří naplňovat jen velmi pozvolně a</w:t>
      </w:r>
      <w:r w:rsidR="00546698">
        <w:t> </w:t>
      </w:r>
      <w:r w:rsidRPr="004F707E">
        <w:t>je proto třeba v</w:t>
      </w:r>
      <w:r w:rsidR="00546698">
        <w:t> </w:t>
      </w:r>
      <w:r w:rsidRPr="004F707E">
        <w:t>příštím období vyvinout vyšší úsilí, pokud se má vodíková mobilita stát plnohodnotnou součástí strategie ČR v</w:t>
      </w:r>
      <w:r w:rsidR="00546698">
        <w:t> </w:t>
      </w:r>
      <w:r w:rsidRPr="004F707E">
        <w:t>oblasti čisté mobility.</w:t>
      </w:r>
      <w:r>
        <w:t xml:space="preserve"> </w:t>
      </w:r>
    </w:p>
    <w:p w14:paraId="28FE9D70" w14:textId="77777777" w:rsidR="001B4719" w:rsidRPr="004F707E" w:rsidRDefault="001B4719" w:rsidP="001B4719">
      <w:pPr>
        <w:pStyle w:val="Nadpis2"/>
        <w:numPr>
          <w:ilvl w:val="1"/>
          <w:numId w:val="9"/>
        </w:numPr>
        <w:jc w:val="both"/>
      </w:pPr>
      <w:bookmarkStart w:id="459" w:name="_Toc13732610"/>
      <w:bookmarkStart w:id="460" w:name="_Toc19792361"/>
      <w:bookmarkStart w:id="461" w:name="_Toc25067660"/>
      <w:bookmarkStart w:id="462" w:name="_Toc25084488"/>
      <w:bookmarkStart w:id="463" w:name="_Toc25136818"/>
      <w:bookmarkStart w:id="464" w:name="_Toc34295944"/>
      <w:r w:rsidRPr="004F707E">
        <w:t>Rekapitulace východisek pro rozvoj vodíkové mobility</w:t>
      </w:r>
      <w:bookmarkEnd w:id="459"/>
      <w:bookmarkEnd w:id="460"/>
      <w:bookmarkEnd w:id="461"/>
      <w:bookmarkEnd w:id="462"/>
      <w:bookmarkEnd w:id="463"/>
      <w:bookmarkEnd w:id="464"/>
      <w:r w:rsidRPr="004F707E">
        <w:t xml:space="preserve"> </w:t>
      </w:r>
    </w:p>
    <w:p w14:paraId="4AEA96D9" w14:textId="77777777" w:rsidR="001B4719" w:rsidRPr="004F707E" w:rsidRDefault="001B4719" w:rsidP="001B4719">
      <w:pPr>
        <w:pStyle w:val="Nadpis3"/>
        <w:numPr>
          <w:ilvl w:val="2"/>
          <w:numId w:val="9"/>
        </w:numPr>
        <w:tabs>
          <w:tab w:val="left" w:pos="851"/>
          <w:tab w:val="num" w:pos="2411"/>
        </w:tabs>
        <w:ind w:left="284" w:firstLine="0"/>
        <w:jc w:val="both"/>
      </w:pPr>
      <w:bookmarkStart w:id="465" w:name="_Toc13732611"/>
      <w:bookmarkStart w:id="466" w:name="_Toc19792362"/>
      <w:bookmarkStart w:id="467" w:name="_Toc25084489"/>
      <w:bookmarkStart w:id="468" w:name="_Toc25136819"/>
      <w:bookmarkStart w:id="469" w:name="_Toc34295945"/>
      <w:r w:rsidRPr="004F707E">
        <w:t>Důvody zavádění vodíkové mobility</w:t>
      </w:r>
      <w:bookmarkEnd w:id="465"/>
      <w:bookmarkEnd w:id="466"/>
      <w:bookmarkEnd w:id="467"/>
      <w:bookmarkEnd w:id="468"/>
      <w:bookmarkEnd w:id="469"/>
      <w:r w:rsidRPr="004F707E">
        <w:t xml:space="preserve"> </w:t>
      </w:r>
    </w:p>
    <w:p w14:paraId="24A9CF69" w14:textId="77777777" w:rsidR="001B4719" w:rsidRPr="004F707E" w:rsidRDefault="001B4719" w:rsidP="001B4719">
      <w:pPr>
        <w:jc w:val="both"/>
      </w:pPr>
      <w:r w:rsidRPr="004F707E">
        <w:t>I když se v</w:t>
      </w:r>
      <w:r w:rsidR="00546698">
        <w:t> </w:t>
      </w:r>
      <w:r w:rsidRPr="004F707E">
        <w:t>současnosti může zdát, že hlavním směrem čisté mobility bude bateriová elektromobilita, některé strategické dokumenty Evropské komise a</w:t>
      </w:r>
      <w:r w:rsidR="00546698">
        <w:t> </w:t>
      </w:r>
      <w:r w:rsidRPr="004F707E">
        <w:t xml:space="preserve">studie ukazují, že elektrizace dopravy nemusí být řešením pro všechny druhy dopravy. </w:t>
      </w:r>
    </w:p>
    <w:p w14:paraId="2186BB0D" w14:textId="77777777" w:rsidR="001B4719" w:rsidRPr="004F707E" w:rsidRDefault="001B4719" w:rsidP="001B4719">
      <w:pPr>
        <w:jc w:val="both"/>
      </w:pPr>
      <w:r w:rsidRPr="004F707E">
        <w:t>V tomto směru je třeba poukázat zejména na dokument Hydrogen Roadmap Europe vypracovaný Společným podnikem pro palivové články a</w:t>
      </w:r>
      <w:r w:rsidR="00546698">
        <w:t> </w:t>
      </w:r>
      <w:r w:rsidRPr="004F707E">
        <w:t>vodík (JU FCH) a</w:t>
      </w:r>
      <w:r w:rsidR="00546698">
        <w:t> </w:t>
      </w:r>
      <w:r w:rsidRPr="004F707E">
        <w:t>zveřejněný v</w:t>
      </w:r>
      <w:r w:rsidR="00546698">
        <w:t> </w:t>
      </w:r>
      <w:r w:rsidRPr="004F707E">
        <w:t>letošním roce.</w:t>
      </w:r>
      <w:r>
        <w:t xml:space="preserve"> </w:t>
      </w:r>
      <w:r w:rsidRPr="004F707E">
        <w:t>Z</w:t>
      </w:r>
      <w:r w:rsidR="00546698">
        <w:t> </w:t>
      </w:r>
      <w:r w:rsidRPr="004F707E">
        <w:t xml:space="preserve">uvedeného dokumentu přitom vyplývá, že </w:t>
      </w:r>
      <w:r w:rsidRPr="004F707E">
        <w:rPr>
          <w:b/>
        </w:rPr>
        <w:t>vodíková elektromobilita</w:t>
      </w:r>
      <w:r w:rsidRPr="004F707E">
        <w:t>, tedy technologie založená na přeměně vodíku v</w:t>
      </w:r>
      <w:r w:rsidR="00546698">
        <w:t> </w:t>
      </w:r>
      <w:r w:rsidRPr="004F707E">
        <w:t xml:space="preserve">palivovém článku na elektrickou energii, představuje </w:t>
      </w:r>
      <w:r w:rsidRPr="004F707E">
        <w:rPr>
          <w:b/>
        </w:rPr>
        <w:t>nejslibnější cestu dekarbonizace pro celou řadu segmentů silniční dopravy,</w:t>
      </w:r>
      <w:r w:rsidRPr="004F707E">
        <w:t xml:space="preserve"> a</w:t>
      </w:r>
      <w:r w:rsidR="00546698">
        <w:t> </w:t>
      </w:r>
      <w:r w:rsidRPr="004F707E">
        <w:t xml:space="preserve">to konkrétně pro </w:t>
      </w:r>
      <w:r w:rsidRPr="004F707E">
        <w:rPr>
          <w:b/>
        </w:rPr>
        <w:t>těžká nákladní vozidla, lehká užitková vozidla, velká osobní vozidla (SUV) a</w:t>
      </w:r>
      <w:r w:rsidR="00546698">
        <w:rPr>
          <w:b/>
        </w:rPr>
        <w:t> </w:t>
      </w:r>
      <w:r w:rsidRPr="004F707E">
        <w:rPr>
          <w:b/>
        </w:rPr>
        <w:t>rovněž autobusy</w:t>
      </w:r>
      <w:r w:rsidRPr="004F707E">
        <w:t>. Jen tato technologie totiž může v</w:t>
      </w:r>
      <w:r w:rsidR="00546698">
        <w:t> </w:t>
      </w:r>
      <w:r w:rsidRPr="004F707E">
        <w:t>těchto případech nabídnout plnou dekarbonizaci, zatímco ostatní technologie mohou sloužit jen jako dočasné řešení zajišťující přechod do fáze plného rozvoje vodíkové technologie.</w:t>
      </w:r>
    </w:p>
    <w:p w14:paraId="48C29546" w14:textId="77777777" w:rsidR="001B4719" w:rsidRPr="004F707E" w:rsidRDefault="001B4719" w:rsidP="001B4719">
      <w:pPr>
        <w:jc w:val="both"/>
      </w:pPr>
      <w:r w:rsidRPr="004F707E">
        <w:t>Jako příklad dokument mj. poukazuje na skutečnost, že pro nákladní silniční dopravu nad vzdálenost 100 km je v</w:t>
      </w:r>
      <w:r w:rsidR="00546698">
        <w:t> </w:t>
      </w:r>
      <w:r w:rsidRPr="004F707E">
        <w:t>porovnání s</w:t>
      </w:r>
      <w:r w:rsidR="00546698">
        <w:t> </w:t>
      </w:r>
      <w:r w:rsidRPr="004F707E">
        <w:t>bateriovou elektromobilitou nákladově efektivnější vodíková elektromobilita.</w:t>
      </w:r>
    </w:p>
    <w:p w14:paraId="6BE57711" w14:textId="77777777" w:rsidR="001B4719" w:rsidRPr="004F707E" w:rsidRDefault="001B4719" w:rsidP="001B4719">
      <w:pPr>
        <w:jc w:val="both"/>
        <w:rPr>
          <w:rFonts w:cstheme="minorHAnsi"/>
        </w:rPr>
      </w:pPr>
      <w:r w:rsidRPr="004F707E">
        <w:rPr>
          <w:rFonts w:cstheme="minorHAnsi"/>
        </w:rPr>
        <w:t>Výraznou roli v</w:t>
      </w:r>
      <w:r w:rsidR="00546698">
        <w:rPr>
          <w:rFonts w:cstheme="minorHAnsi"/>
        </w:rPr>
        <w:t> </w:t>
      </w:r>
      <w:r w:rsidRPr="004F707E">
        <w:rPr>
          <w:rFonts w:cstheme="minorHAnsi"/>
        </w:rPr>
        <w:t>tomto ohledu samozřejmě hraje fakt, že plnění vozidla na vodíkové plnící stanici je 15krát rychlejší než dobíjení nákladního vozidla na ultrarychlé rychlodobíjecí stanici. Dle údajů obsažených v</w:t>
      </w:r>
      <w:r w:rsidR="00546698">
        <w:rPr>
          <w:rFonts w:cstheme="minorHAnsi"/>
        </w:rPr>
        <w:t> </w:t>
      </w:r>
      <w:r w:rsidRPr="004F707E">
        <w:rPr>
          <w:rFonts w:cstheme="minorHAnsi"/>
        </w:rPr>
        <w:t>této strategii dojde u</w:t>
      </w:r>
      <w:r w:rsidR="00546698">
        <w:rPr>
          <w:rFonts w:cstheme="minorHAnsi"/>
        </w:rPr>
        <w:t> </w:t>
      </w:r>
      <w:r w:rsidRPr="004F707E">
        <w:rPr>
          <w:rFonts w:cstheme="minorHAnsi"/>
        </w:rPr>
        <w:t>vodíkového kamionu za 10 minut k</w:t>
      </w:r>
      <w:r w:rsidR="00546698">
        <w:rPr>
          <w:rFonts w:cstheme="minorHAnsi"/>
        </w:rPr>
        <w:t> </w:t>
      </w:r>
      <w:r w:rsidRPr="004F707E">
        <w:rPr>
          <w:rFonts w:cstheme="minorHAnsi"/>
        </w:rPr>
        <w:t>90</w:t>
      </w:r>
      <w:r>
        <w:rPr>
          <w:rFonts w:cstheme="minorHAnsi"/>
        </w:rPr>
        <w:t> </w:t>
      </w:r>
      <w:r w:rsidRPr="004F707E">
        <w:rPr>
          <w:rFonts w:cstheme="minorHAnsi"/>
        </w:rPr>
        <w:t>% naplnění jeho nádrže, zatímco u</w:t>
      </w:r>
      <w:r w:rsidR="00546698">
        <w:rPr>
          <w:rFonts w:cstheme="minorHAnsi"/>
        </w:rPr>
        <w:t> </w:t>
      </w:r>
      <w:r w:rsidRPr="004F707E">
        <w:rPr>
          <w:rFonts w:cstheme="minorHAnsi"/>
        </w:rPr>
        <w:t>bateriového kamionu za stejnou dobu dojde k</w:t>
      </w:r>
      <w:r w:rsidR="00546698">
        <w:rPr>
          <w:rFonts w:cstheme="minorHAnsi"/>
        </w:rPr>
        <w:t> </w:t>
      </w:r>
      <w:r w:rsidRPr="004F707E">
        <w:rPr>
          <w:rFonts w:cstheme="minorHAnsi"/>
        </w:rPr>
        <w:t>nabití baterie jen na 10 % její kapacity. Zajímavé je též srovnání z</w:t>
      </w:r>
      <w:r w:rsidR="00546698">
        <w:rPr>
          <w:rFonts w:cstheme="minorHAnsi"/>
        </w:rPr>
        <w:t> </w:t>
      </w:r>
      <w:r w:rsidRPr="004F707E">
        <w:rPr>
          <w:rFonts w:cstheme="minorHAnsi"/>
        </w:rPr>
        <w:t>hlediska prostorových požadavků na příslušnou infrastrukturu, kdy plnící vodíková infrastruktura pro obsluhu nákladních vozidel vyžaduje 10-15krát nižší prostorové požadavky než adekvátní infrastruktura dobíjecích stanic sloužící ke stejnému účelu.</w:t>
      </w:r>
    </w:p>
    <w:p w14:paraId="5D15C2CE" w14:textId="77777777" w:rsidR="001B4719" w:rsidRPr="004F707E" w:rsidRDefault="001B4719" w:rsidP="001B4719">
      <w:pPr>
        <w:pStyle w:val="Nadpis3"/>
        <w:numPr>
          <w:ilvl w:val="2"/>
          <w:numId w:val="9"/>
        </w:numPr>
        <w:tabs>
          <w:tab w:val="left" w:pos="851"/>
          <w:tab w:val="num" w:pos="2411"/>
        </w:tabs>
        <w:ind w:left="284" w:firstLine="0"/>
        <w:jc w:val="both"/>
      </w:pPr>
      <w:bookmarkStart w:id="470" w:name="_Toc13732612"/>
      <w:bookmarkStart w:id="471" w:name="_Toc19792363"/>
      <w:bookmarkStart w:id="472" w:name="_Toc25084490"/>
      <w:bookmarkStart w:id="473" w:name="_Toc25136820"/>
      <w:bookmarkStart w:id="474" w:name="_Toc34295946"/>
      <w:r w:rsidRPr="004F707E">
        <w:t>Celosvětové současné vývojové trendy v</w:t>
      </w:r>
      <w:r w:rsidR="00546698">
        <w:t> </w:t>
      </w:r>
      <w:r w:rsidRPr="004F707E">
        <w:t>oblasti vodíkové mobility</w:t>
      </w:r>
      <w:bookmarkEnd w:id="470"/>
      <w:bookmarkEnd w:id="471"/>
      <w:bookmarkEnd w:id="472"/>
      <w:bookmarkEnd w:id="473"/>
      <w:bookmarkEnd w:id="474"/>
    </w:p>
    <w:p w14:paraId="26DF4DF3" w14:textId="77777777" w:rsidR="001B4719" w:rsidRPr="004F707E" w:rsidRDefault="001B4719" w:rsidP="001B4719">
      <w:pPr>
        <w:jc w:val="both"/>
      </w:pPr>
      <w:r w:rsidRPr="004F707E">
        <w:t>Od roku 2015, kdy byl zpracován původní NAP CM, došlo v</w:t>
      </w:r>
      <w:r w:rsidR="00546698">
        <w:t> </w:t>
      </w:r>
      <w:r w:rsidRPr="004F707E">
        <w:t>oblasti vodíkové mobility k</w:t>
      </w:r>
      <w:r w:rsidR="00546698">
        <w:t> </w:t>
      </w:r>
      <w:r w:rsidRPr="004F707E">
        <w:t>výraznému pokroku. Technologie vodíkových palivových článků umožňuje nasazení nejen v</w:t>
      </w:r>
      <w:r w:rsidR="00546698">
        <w:t> </w:t>
      </w:r>
      <w:r w:rsidRPr="004F707E">
        <w:t>oblasti osobní silniční dopravy, ale i</w:t>
      </w:r>
      <w:r w:rsidR="00546698">
        <w:t> </w:t>
      </w:r>
      <w:r w:rsidRPr="004F707E">
        <w:t>nákladní silniční dopravy a</w:t>
      </w:r>
      <w:r w:rsidR="00546698">
        <w:t> </w:t>
      </w:r>
      <w:r w:rsidRPr="004F707E">
        <w:t>rovněž v</w:t>
      </w:r>
      <w:r w:rsidR="00546698">
        <w:t> </w:t>
      </w:r>
      <w:r w:rsidRPr="004F707E">
        <w:t>dopravě železniční. Výhledově, jak naznačuje níže uvedený graf, lze vodík využít v</w:t>
      </w:r>
      <w:r w:rsidR="00546698">
        <w:t> </w:t>
      </w:r>
      <w:r w:rsidRPr="004F707E">
        <w:t>podstatě ve všech druzích dopravy (včetně letecké dopravy v</w:t>
      </w:r>
      <w:r w:rsidR="00546698">
        <w:t> </w:t>
      </w:r>
      <w:r w:rsidRPr="004F707E">
        <w:t>podobě syntetického paliva vyráběného na bázi vodíku).</w:t>
      </w:r>
    </w:p>
    <w:p w14:paraId="5FBE3971" w14:textId="77777777" w:rsidR="001B4719" w:rsidRPr="004F707E" w:rsidRDefault="001B4719" w:rsidP="001B4719">
      <w:pPr>
        <w:jc w:val="both"/>
        <w:rPr>
          <w:szCs w:val="18"/>
        </w:rPr>
      </w:pPr>
      <w:r w:rsidRPr="004F707E">
        <w:t>Pokud jde o</w:t>
      </w:r>
      <w:r w:rsidR="00546698">
        <w:t> </w:t>
      </w:r>
      <w:r w:rsidRPr="004F707E">
        <w:rPr>
          <w:b/>
        </w:rPr>
        <w:t>osobní automobilovou dopravu</w:t>
      </w:r>
      <w:r w:rsidRPr="004F707E">
        <w:t>, stále platí, že z</w:t>
      </w:r>
      <w:r w:rsidR="00546698">
        <w:t> </w:t>
      </w:r>
      <w:r w:rsidRPr="004F707E">
        <w:t xml:space="preserve">automobilek se výrobě </w:t>
      </w:r>
      <w:r w:rsidRPr="004F707E">
        <w:rPr>
          <w:b/>
        </w:rPr>
        <w:t>vodíkových osobních automobilů</w:t>
      </w:r>
      <w:r w:rsidRPr="004F707E">
        <w:t xml:space="preserve"> věnují primárně asijské (japonské/ korejské) automobilky, zatímco ty evropské sází zatím spíše na bateriovou elektromobilitu, ambice zmiňovaných automobilek jsou však poměrně značné. Např. jen automobilka </w:t>
      </w:r>
      <w:r w:rsidRPr="004F707E">
        <w:rPr>
          <w:b/>
        </w:rPr>
        <w:t xml:space="preserve">Toyota, </w:t>
      </w:r>
      <w:r w:rsidRPr="004F707E">
        <w:t xml:space="preserve">která spustila </w:t>
      </w:r>
      <w:r w:rsidRPr="004F707E">
        <w:rPr>
          <w:szCs w:val="22"/>
        </w:rPr>
        <w:t>sériovou výrobu modelu Mirai koncem roku 2014 a</w:t>
      </w:r>
      <w:r w:rsidR="00546698">
        <w:rPr>
          <w:szCs w:val="22"/>
        </w:rPr>
        <w:t> </w:t>
      </w:r>
      <w:r w:rsidRPr="004F707E">
        <w:rPr>
          <w:szCs w:val="22"/>
        </w:rPr>
        <w:t>v</w:t>
      </w:r>
      <w:r>
        <w:rPr>
          <w:szCs w:val="22"/>
        </w:rPr>
        <w:t> </w:t>
      </w:r>
      <w:r w:rsidRPr="004F707E">
        <w:rPr>
          <w:szCs w:val="22"/>
        </w:rPr>
        <w:t>současnosti vyrábí zhruba 300 vozidel tohoto typu měsíčně, v</w:t>
      </w:r>
      <w:r w:rsidR="00546698">
        <w:rPr>
          <w:szCs w:val="22"/>
        </w:rPr>
        <w:t> </w:t>
      </w:r>
      <w:r w:rsidRPr="004F707E">
        <w:rPr>
          <w:szCs w:val="22"/>
        </w:rPr>
        <w:t>následující dekádě plánuje nárůst své produkce 30 000 vozů ročně. Velký pokrok lze registrovat též u</w:t>
      </w:r>
      <w:r w:rsidR="00546698">
        <w:rPr>
          <w:szCs w:val="22"/>
        </w:rPr>
        <w:t> </w:t>
      </w:r>
      <w:r w:rsidRPr="004F707E">
        <w:rPr>
          <w:szCs w:val="22"/>
        </w:rPr>
        <w:t xml:space="preserve">automobilky </w:t>
      </w:r>
      <w:r w:rsidRPr="004F707E">
        <w:rPr>
          <w:b/>
          <w:szCs w:val="22"/>
        </w:rPr>
        <w:t xml:space="preserve">Hyundai. </w:t>
      </w:r>
      <w:r w:rsidRPr="004F707E">
        <w:t>V</w:t>
      </w:r>
      <w:r w:rsidR="00546698">
        <w:t> </w:t>
      </w:r>
      <w:r w:rsidRPr="004F707E">
        <w:t xml:space="preserve">květnu 2019 dosáhla automobilka ročního prodeje více než tisíce kusů. Hyundai Motor Group předpokládá roční prodej 500 tis. </w:t>
      </w:r>
      <w:r>
        <w:t>k</w:t>
      </w:r>
      <w:r w:rsidRPr="004F707E">
        <w:t>usů FCEV v</w:t>
      </w:r>
      <w:r w:rsidR="00546698">
        <w:t> </w:t>
      </w:r>
      <w:r w:rsidRPr="004F707E">
        <w:t>roce 2030 (FCEV Vision 2030).</w:t>
      </w:r>
    </w:p>
    <w:p w14:paraId="1FAE9FE9" w14:textId="77777777" w:rsidR="001B4719" w:rsidRPr="004F707E" w:rsidRDefault="001B4719" w:rsidP="001B4719">
      <w:pPr>
        <w:jc w:val="both"/>
      </w:pPr>
      <w:r w:rsidRPr="004F707E">
        <w:t xml:space="preserve">V oblasti </w:t>
      </w:r>
      <w:r w:rsidRPr="004F707E">
        <w:rPr>
          <w:b/>
          <w:u w:val="single"/>
        </w:rPr>
        <w:t>vodíkových autobusů</w:t>
      </w:r>
      <w:r w:rsidRPr="004F707E">
        <w:t xml:space="preserve"> (FCEB) je situace na trhu ještě optimističtější. I</w:t>
      </w:r>
      <w:r w:rsidR="00546698">
        <w:t> </w:t>
      </w:r>
      <w:r w:rsidRPr="004F707E">
        <w:t xml:space="preserve">když mezi hlavní aktéry tohoto trhu patří společnosti </w:t>
      </w:r>
      <w:r w:rsidRPr="004F707E">
        <w:rPr>
          <w:b/>
        </w:rPr>
        <w:t>Van Hool, Daimler</w:t>
      </w:r>
      <w:r w:rsidRPr="004F707E">
        <w:t xml:space="preserve"> a</w:t>
      </w:r>
      <w:r w:rsidR="00546698">
        <w:t> </w:t>
      </w:r>
      <w:r w:rsidRPr="004F707E">
        <w:rPr>
          <w:b/>
        </w:rPr>
        <w:t>Toyota</w:t>
      </w:r>
      <w:r w:rsidRPr="004F707E">
        <w:t>, v</w:t>
      </w:r>
      <w:r w:rsidR="00546698">
        <w:t> </w:t>
      </w:r>
      <w:r w:rsidRPr="004F707E">
        <w:t xml:space="preserve">této technologii figurují také středoevropský </w:t>
      </w:r>
      <w:r w:rsidRPr="004F707E">
        <w:rPr>
          <w:b/>
        </w:rPr>
        <w:t>Solaris a</w:t>
      </w:r>
      <w:r w:rsidR="00546698">
        <w:rPr>
          <w:b/>
        </w:rPr>
        <w:t> </w:t>
      </w:r>
      <w:r w:rsidRPr="004F707E">
        <w:rPr>
          <w:b/>
        </w:rPr>
        <w:t xml:space="preserve">česká Škoda Electric </w:t>
      </w:r>
      <w:r w:rsidRPr="004F707E">
        <w:t>(prototyp TriHyBus společně s</w:t>
      </w:r>
      <w:r w:rsidR="00546698">
        <w:t> </w:t>
      </w:r>
      <w:r w:rsidRPr="004F707E">
        <w:t>ÚJV Řež)</w:t>
      </w:r>
      <w:r w:rsidRPr="004F707E">
        <w:rPr>
          <w:b/>
        </w:rPr>
        <w:t xml:space="preserve">. </w:t>
      </w:r>
      <w:r w:rsidRPr="004F707E">
        <w:t>Za důležitou zprávu lze označit výrazný pokles ceny těchto autobusů.</w:t>
      </w:r>
      <w:r>
        <w:t xml:space="preserve"> </w:t>
      </w:r>
      <w:r w:rsidRPr="004F707E">
        <w:t>Cenová hladina jednoho FCEB pro evropský trh je v</w:t>
      </w:r>
      <w:r w:rsidR="00546698">
        <w:t> </w:t>
      </w:r>
      <w:r w:rsidRPr="004F707E">
        <w:t>současnosti 625–650 tis. EUR (asi 17 mil. Kč), což v</w:t>
      </w:r>
      <w:r w:rsidR="00546698">
        <w:t> </w:t>
      </w:r>
      <w:r w:rsidRPr="004F707E">
        <w:t>porovnání s</w:t>
      </w:r>
      <w:r w:rsidR="00546698">
        <w:t> </w:t>
      </w:r>
      <w:r w:rsidRPr="004F707E">
        <w:t>90. l</w:t>
      </w:r>
      <w:r>
        <w:t>e</w:t>
      </w:r>
      <w:r w:rsidRPr="004F707E">
        <w:t>ty představuje pokles o</w:t>
      </w:r>
      <w:r w:rsidR="00546698">
        <w:t> </w:t>
      </w:r>
      <w:r w:rsidRPr="004F707E">
        <w:t>76 %.</w:t>
      </w:r>
      <w:r>
        <w:t xml:space="preserve"> </w:t>
      </w:r>
      <w:r w:rsidRPr="004F707E">
        <w:t>Do budoucna se předpokládá pokles na 570–600 tis. EUR v</w:t>
      </w:r>
      <w:r w:rsidR="00546698">
        <w:t> </w:t>
      </w:r>
      <w:r w:rsidRPr="004F707E">
        <w:t>roce 2020, dále pak na 420–450 tis. EUR v</w:t>
      </w:r>
      <w:r w:rsidR="00546698">
        <w:t> </w:t>
      </w:r>
      <w:r w:rsidRPr="004F707E">
        <w:t>roce 2025 a</w:t>
      </w:r>
      <w:r w:rsidR="00546698">
        <w:t> </w:t>
      </w:r>
      <w:r w:rsidRPr="004F707E">
        <w:t>v</w:t>
      </w:r>
      <w:r>
        <w:t> </w:t>
      </w:r>
      <w:r w:rsidRPr="004F707E">
        <w:t xml:space="preserve">roce 2030 na 400–450 tis. EUR. </w:t>
      </w:r>
    </w:p>
    <w:p w14:paraId="09396ACA" w14:textId="77777777" w:rsidR="001B4719" w:rsidRPr="004F707E" w:rsidRDefault="001B4719" w:rsidP="001B4719">
      <w:pPr>
        <w:jc w:val="both"/>
      </w:pPr>
      <w:r w:rsidRPr="004F707E">
        <w:lastRenderedPageBreak/>
        <w:t>Autobusová doprava vykazuje značný potenciál pro rozvoj vodíkové mobility, což dokládá 30 demonstračních projektů, které byly v</w:t>
      </w:r>
      <w:r w:rsidR="00546698">
        <w:t> </w:t>
      </w:r>
      <w:r w:rsidRPr="004F707E">
        <w:t>této oblasti v</w:t>
      </w:r>
      <w:r w:rsidR="00546698">
        <w:t> </w:t>
      </w:r>
      <w:r w:rsidRPr="004F707E">
        <w:t>posledních letech zrealizovány. Díky podpoře v</w:t>
      </w:r>
      <w:r w:rsidR="00546698">
        <w:t> </w:t>
      </w:r>
      <w:r w:rsidRPr="004F707E">
        <w:t>rámci Horizon 2020 a</w:t>
      </w:r>
      <w:r w:rsidR="00546698">
        <w:t> </w:t>
      </w:r>
      <w:r w:rsidRPr="004F707E">
        <w:t>iniciativě JIVE 1 a</w:t>
      </w:r>
      <w:r w:rsidR="00546698">
        <w:t> </w:t>
      </w:r>
      <w:r w:rsidRPr="004F707E">
        <w:t>JIVE 2 (</w:t>
      </w:r>
      <w:r w:rsidRPr="004F707E">
        <w:rPr>
          <w:b/>
        </w:rPr>
        <w:t xml:space="preserve">Joint </w:t>
      </w:r>
      <w:r w:rsidRPr="002725B2">
        <w:rPr>
          <w:b/>
        </w:rPr>
        <w:t>Initiative for hydrogen Vehicles across</w:t>
      </w:r>
      <w:r w:rsidRPr="004F707E">
        <w:rPr>
          <w:b/>
        </w:rPr>
        <w:t xml:space="preserve"> Europe</w:t>
      </w:r>
      <w:r w:rsidRPr="004F707E">
        <w:t>) se podařilo jen v</w:t>
      </w:r>
      <w:r w:rsidR="00546698">
        <w:t> </w:t>
      </w:r>
      <w:r w:rsidRPr="004F707E">
        <w:t>roce 2017 rozmístit 142 vodíkových autobusů do 9 evropských lokalit. Aktuálně nejvíce objednávek v</w:t>
      </w:r>
      <w:r w:rsidR="00546698">
        <w:t> </w:t>
      </w:r>
      <w:r w:rsidRPr="004F707E">
        <w:t xml:space="preserve">oblasti vodíkových autobusů má </w:t>
      </w:r>
      <w:r w:rsidRPr="004F707E">
        <w:rPr>
          <w:b/>
        </w:rPr>
        <w:t>Německo.</w:t>
      </w:r>
      <w:r>
        <w:rPr>
          <w:b/>
        </w:rPr>
        <w:t xml:space="preserve"> </w:t>
      </w:r>
      <w:r w:rsidRPr="004F707E">
        <w:t xml:space="preserve">Dlouhodobým podporovatelem vodíkových autobusů je také </w:t>
      </w:r>
      <w:r w:rsidRPr="004F707E">
        <w:rPr>
          <w:b/>
        </w:rPr>
        <w:t xml:space="preserve">Nizozemsko. </w:t>
      </w:r>
    </w:p>
    <w:p w14:paraId="7AC2833F" w14:textId="77777777" w:rsidR="001B4719" w:rsidRPr="004F707E" w:rsidRDefault="001B4719" w:rsidP="001B4719">
      <w:pPr>
        <w:jc w:val="both"/>
      </w:pPr>
      <w:r w:rsidRPr="004F707E">
        <w:t>Jedním z</w:t>
      </w:r>
      <w:r w:rsidR="00546698">
        <w:t> </w:t>
      </w:r>
      <w:r w:rsidRPr="004F707E">
        <w:t>nejvýznamnějších producentů vodíkových autobusů je společnost Zhongtong Bus, která v</w:t>
      </w:r>
      <w:r w:rsidR="00546698">
        <w:t> </w:t>
      </w:r>
      <w:r w:rsidRPr="004F707E">
        <w:t>roce 2018 vyrobila 790 vozidel s</w:t>
      </w:r>
      <w:r w:rsidR="00546698">
        <w:t> </w:t>
      </w:r>
      <w:r w:rsidRPr="004F707E">
        <w:t>palivovými články a</w:t>
      </w:r>
      <w:r w:rsidR="00546698">
        <w:t> </w:t>
      </w:r>
      <w:r w:rsidRPr="004F707E">
        <w:t>20 autobusů. Celkově se v</w:t>
      </w:r>
      <w:r w:rsidR="00546698">
        <w:t> </w:t>
      </w:r>
      <w:r w:rsidRPr="004F707E">
        <w:t xml:space="preserve">Číně očekává, že do roku 2025 bude na silnicích jezdit 100 000 vozidel na vodíkový pohon. </w:t>
      </w:r>
    </w:p>
    <w:p w14:paraId="13320D1D" w14:textId="77777777" w:rsidR="001B4719" w:rsidRPr="004F707E" w:rsidRDefault="001B4719" w:rsidP="001B4719">
      <w:pPr>
        <w:jc w:val="both"/>
        <w:rPr>
          <w:rFonts w:cs="Arial"/>
          <w:b/>
        </w:rPr>
      </w:pPr>
      <w:r w:rsidRPr="004F707E">
        <w:t>Vodíková mobilita se nicméně začíná pomalu rozvíjet i</w:t>
      </w:r>
      <w:r w:rsidR="00546698">
        <w:t> </w:t>
      </w:r>
      <w:r w:rsidRPr="004F707E">
        <w:t>v</w:t>
      </w:r>
      <w:r>
        <w:t> </w:t>
      </w:r>
      <w:r w:rsidRPr="004F707E">
        <w:rPr>
          <w:b/>
          <w:u w:val="single"/>
        </w:rPr>
        <w:t>silniční nákladní dopravě</w:t>
      </w:r>
      <w:r w:rsidRPr="004F707E">
        <w:t>, tedy v</w:t>
      </w:r>
      <w:r w:rsidR="00546698">
        <w:t> </w:t>
      </w:r>
      <w:r w:rsidRPr="004F707E">
        <w:t>jedné z</w:t>
      </w:r>
      <w:r w:rsidR="00546698">
        <w:t> </w:t>
      </w:r>
      <w:r w:rsidRPr="004F707E">
        <w:t>oblastí, kterou v</w:t>
      </w:r>
      <w:r w:rsidR="00546698">
        <w:t> </w:t>
      </w:r>
      <w:r w:rsidRPr="004F707E">
        <w:t>souvislosti s</w:t>
      </w:r>
      <w:r w:rsidR="00546698">
        <w:t> </w:t>
      </w:r>
      <w:r w:rsidRPr="004F707E">
        <w:t>touto aktualizací začíná akcentovat i</w:t>
      </w:r>
      <w:r w:rsidR="00546698">
        <w:t> </w:t>
      </w:r>
      <w:r w:rsidRPr="004F707E">
        <w:t xml:space="preserve">NAP CM. </w:t>
      </w:r>
      <w:r w:rsidRPr="004F707E">
        <w:rPr>
          <w:rFonts w:cs="Arial"/>
        </w:rPr>
        <w:t>Jedním z</w:t>
      </w:r>
      <w:r w:rsidR="00546698">
        <w:rPr>
          <w:rFonts w:cs="Arial"/>
        </w:rPr>
        <w:t> </w:t>
      </w:r>
      <w:r w:rsidRPr="004F707E">
        <w:rPr>
          <w:rFonts w:cs="Arial"/>
        </w:rPr>
        <w:t xml:space="preserve">výrobců kamionů na vodíkový pohon je americká firma </w:t>
      </w:r>
      <w:r w:rsidRPr="004F707E">
        <w:rPr>
          <w:rFonts w:cs="Arial"/>
          <w:b/>
        </w:rPr>
        <w:t xml:space="preserve">Nikola Motor </w:t>
      </w:r>
      <w:r w:rsidRPr="002725B2">
        <w:rPr>
          <w:rFonts w:cs="Arial"/>
          <w:b/>
        </w:rPr>
        <w:t>Company</w:t>
      </w:r>
      <w:r w:rsidRPr="004F707E">
        <w:rPr>
          <w:rFonts w:cs="Arial"/>
          <w:b/>
        </w:rPr>
        <w:t xml:space="preserve">, </w:t>
      </w:r>
      <w:r w:rsidRPr="004F707E">
        <w:rPr>
          <w:rFonts w:cs="Arial"/>
        </w:rPr>
        <w:t>jejíž n</w:t>
      </w:r>
      <w:r w:rsidRPr="004F707E">
        <w:rPr>
          <w:rFonts w:cs="Arial"/>
          <w:color w:val="0A0A0A"/>
        </w:rPr>
        <w:t xml:space="preserve">ákladní vůz/tahač </w:t>
      </w:r>
      <w:r w:rsidRPr="004F707E">
        <w:rPr>
          <w:rFonts w:cs="Arial"/>
          <w:b/>
          <w:bCs/>
          <w:color w:val="0A0A0A"/>
        </w:rPr>
        <w:t>Nikola</w:t>
      </w:r>
      <w:r w:rsidRPr="002725B2">
        <w:rPr>
          <w:rFonts w:cs="Arial"/>
          <w:b/>
          <w:bCs/>
          <w:color w:val="0A0A0A"/>
        </w:rPr>
        <w:t xml:space="preserve"> One</w:t>
      </w:r>
      <w:r w:rsidRPr="004F707E">
        <w:rPr>
          <w:rFonts w:cs="Arial"/>
          <w:color w:val="0A0A0A"/>
        </w:rPr>
        <w:t xml:space="preserve">, který by měl na </w:t>
      </w:r>
      <w:r w:rsidRPr="004F707E">
        <w:rPr>
          <w:rFonts w:cs="Arial"/>
          <w:color w:val="0A0A0A"/>
          <w:u w:val="single"/>
        </w:rPr>
        <w:t xml:space="preserve">jedno </w:t>
      </w:r>
      <w:r w:rsidRPr="004F707E">
        <w:rPr>
          <w:rFonts w:cs="Arial"/>
          <w:b/>
          <w:bCs/>
          <w:color w:val="0A0A0A"/>
          <w:u w:val="single"/>
        </w:rPr>
        <w:t>natankování vodíku zvládnout ujet 800 až 1600 kilometrů</w:t>
      </w:r>
      <w:r>
        <w:rPr>
          <w:rFonts w:cs="Arial"/>
          <w:b/>
          <w:bCs/>
          <w:color w:val="0A0A0A"/>
          <w:u w:val="single"/>
        </w:rPr>
        <w:t>.</w:t>
      </w:r>
      <w:r w:rsidRPr="004F707E">
        <w:rPr>
          <w:rFonts w:cs="Arial"/>
          <w:b/>
        </w:rPr>
        <w:t xml:space="preserve"> </w:t>
      </w:r>
      <w:r w:rsidRPr="004F707E">
        <w:rPr>
          <w:rFonts w:cs="Arial"/>
        </w:rPr>
        <w:t xml:space="preserve">Rovněž </w:t>
      </w:r>
      <w:r w:rsidRPr="004F707E">
        <w:rPr>
          <w:b/>
        </w:rPr>
        <w:t xml:space="preserve">automobilka Toyota </w:t>
      </w:r>
      <w:r w:rsidRPr="004F707E">
        <w:t>vyvíjí kamion s</w:t>
      </w:r>
      <w:r w:rsidR="00546698">
        <w:t> </w:t>
      </w:r>
      <w:r w:rsidRPr="004F707E">
        <w:t xml:space="preserve">vodíkovým pohonem </w:t>
      </w:r>
      <w:r w:rsidRPr="004F707E">
        <w:rPr>
          <w:b/>
        </w:rPr>
        <w:t>Alfa Truck.</w:t>
      </w:r>
      <w:r w:rsidRPr="004F707E">
        <w:t xml:space="preserve"> Dle výrobce kamion převeze až 36 tun nákladu na vzdálenost 320 kilometrů do vyčerpání nádrže. </w:t>
      </w:r>
    </w:p>
    <w:p w14:paraId="022DC384" w14:textId="77777777" w:rsidR="001B4719" w:rsidRPr="004F707E" w:rsidRDefault="001B4719" w:rsidP="001B4719">
      <w:pPr>
        <w:jc w:val="both"/>
        <w:rPr>
          <w:rFonts w:cs="Arial"/>
        </w:rPr>
      </w:pPr>
      <w:r w:rsidRPr="004F707E">
        <w:t>Vývoji nákladních vozidel na vodík se věnují i</w:t>
      </w:r>
      <w:r w:rsidR="00546698">
        <w:t> </w:t>
      </w:r>
      <w:r w:rsidRPr="004F707E">
        <w:t>evropské automobilky jako např. š</w:t>
      </w:r>
      <w:r w:rsidRPr="004F707E">
        <w:rPr>
          <w:rFonts w:cs="Arial"/>
        </w:rPr>
        <w:t xml:space="preserve">védská společnost </w:t>
      </w:r>
      <w:r w:rsidRPr="004F707E">
        <w:rPr>
          <w:rFonts w:cs="Arial"/>
          <w:b/>
        </w:rPr>
        <w:t>Scania</w:t>
      </w:r>
      <w:r w:rsidRPr="004F707E">
        <w:rPr>
          <w:rFonts w:cs="Arial"/>
        </w:rPr>
        <w:t xml:space="preserve"> </w:t>
      </w:r>
      <w:r w:rsidRPr="004F707E">
        <w:t>ve spolupráci s</w:t>
      </w:r>
      <w:r w:rsidR="00546698">
        <w:t> </w:t>
      </w:r>
      <w:r w:rsidRPr="004F707E">
        <w:t xml:space="preserve">norskou přepravní společností </w:t>
      </w:r>
      <w:r w:rsidRPr="004F707E">
        <w:rPr>
          <w:b/>
        </w:rPr>
        <w:t>ASKO</w:t>
      </w:r>
      <w:r w:rsidRPr="004F707E">
        <w:t>, která začala testovat nákladní vozidla s</w:t>
      </w:r>
      <w:r w:rsidR="00546698">
        <w:t> </w:t>
      </w:r>
      <w:r w:rsidRPr="004F707E">
        <w:t>vodíkovým pohonem. Třínápravová souprava o</w:t>
      </w:r>
      <w:r w:rsidR="00546698">
        <w:t> </w:t>
      </w:r>
      <w:r w:rsidRPr="004F707E">
        <w:t xml:space="preserve">celkové hmotnosti 27 tun zvládne ujet až 500 kilometrů. Ve </w:t>
      </w:r>
      <w:r w:rsidRPr="004F707E">
        <w:rPr>
          <w:b/>
        </w:rPr>
        <w:t>Velké Británii</w:t>
      </w:r>
      <w:r w:rsidRPr="004F707E">
        <w:t xml:space="preserve"> se inženýři firmy </w:t>
      </w:r>
      <w:r w:rsidRPr="002725B2">
        <w:t>ULEMCo</w:t>
      </w:r>
      <w:r w:rsidRPr="004F707E">
        <w:t xml:space="preserve"> ve spolupráci s</w:t>
      </w:r>
      <w:r w:rsidR="00546698">
        <w:t> </w:t>
      </w:r>
      <w:r w:rsidRPr="002725B2">
        <w:t>Innovate</w:t>
      </w:r>
      <w:r w:rsidRPr="004F707E">
        <w:t xml:space="preserve"> UK začali vyvíjet kamion na vodíkový pohon, do nádrže kamionu se vejde 16,96 kg vodíku, který bude napájet </w:t>
      </w:r>
      <w:r w:rsidRPr="004F707E">
        <w:rPr>
          <w:rFonts w:cs="Arial"/>
        </w:rPr>
        <w:t>vůz na délku přibližně 186 kilometrů při výkonu 223 kW.</w:t>
      </w:r>
      <w:r>
        <w:rPr>
          <w:rFonts w:cs="Arial"/>
        </w:rPr>
        <w:t xml:space="preserve"> </w:t>
      </w:r>
      <w:r w:rsidRPr="004F707E">
        <w:rPr>
          <w:rFonts w:cs="Arial"/>
        </w:rPr>
        <w:t>Určité aktivity v</w:t>
      </w:r>
      <w:r w:rsidR="00546698">
        <w:rPr>
          <w:rFonts w:cs="Arial"/>
        </w:rPr>
        <w:t> </w:t>
      </w:r>
      <w:r w:rsidRPr="004F707E">
        <w:rPr>
          <w:rFonts w:cs="Arial"/>
        </w:rPr>
        <w:t>segmentu lehkých užitkových a</w:t>
      </w:r>
      <w:r w:rsidR="00546698">
        <w:rPr>
          <w:rFonts w:cs="Arial"/>
        </w:rPr>
        <w:t> </w:t>
      </w:r>
      <w:r w:rsidRPr="004F707E">
        <w:rPr>
          <w:rFonts w:cs="Arial"/>
        </w:rPr>
        <w:t>nákladních vozidel poháněných vodíkem lze zaznamenat i</w:t>
      </w:r>
      <w:r w:rsidR="00546698">
        <w:rPr>
          <w:rFonts w:cs="Arial"/>
        </w:rPr>
        <w:t> </w:t>
      </w:r>
      <w:r w:rsidRPr="004F707E">
        <w:rPr>
          <w:rFonts w:cs="Arial"/>
        </w:rPr>
        <w:t>v</w:t>
      </w:r>
      <w:r>
        <w:rPr>
          <w:rFonts w:cs="Arial"/>
        </w:rPr>
        <w:t> </w:t>
      </w:r>
      <w:r w:rsidRPr="004F707E">
        <w:rPr>
          <w:rFonts w:cs="Arial"/>
        </w:rPr>
        <w:t>ČR (společnosti Avia, Zebra a</w:t>
      </w:r>
      <w:r w:rsidR="00546698">
        <w:rPr>
          <w:rFonts w:cs="Arial"/>
        </w:rPr>
        <w:t> </w:t>
      </w:r>
      <w:r w:rsidRPr="004F707E">
        <w:rPr>
          <w:rFonts w:cs="Arial"/>
        </w:rPr>
        <w:t xml:space="preserve">ÚJV Řež). </w:t>
      </w:r>
    </w:p>
    <w:p w14:paraId="30B25859" w14:textId="77777777" w:rsidR="001B4719" w:rsidRPr="004F707E" w:rsidRDefault="001B4719" w:rsidP="001B4719">
      <w:pPr>
        <w:jc w:val="both"/>
      </w:pPr>
      <w:r w:rsidRPr="004F707E">
        <w:rPr>
          <w:rFonts w:cs="Arial"/>
        </w:rPr>
        <w:t>V Evropě se již rozjíždějí konkrétní pilotní projekty v</w:t>
      </w:r>
      <w:r w:rsidR="00546698">
        <w:rPr>
          <w:rFonts w:cs="Arial"/>
        </w:rPr>
        <w:t> </w:t>
      </w:r>
      <w:r w:rsidRPr="004F707E">
        <w:rPr>
          <w:rFonts w:cs="Arial"/>
        </w:rPr>
        <w:t>rámci vodíkového pohonu a</w:t>
      </w:r>
      <w:r w:rsidR="00546698">
        <w:rPr>
          <w:rFonts w:cs="Arial"/>
        </w:rPr>
        <w:t> </w:t>
      </w:r>
      <w:r w:rsidRPr="004F707E">
        <w:rPr>
          <w:rFonts w:cs="Arial"/>
        </w:rPr>
        <w:t xml:space="preserve">nákladní dopravy. Norsko (do 2023), společně se </w:t>
      </w:r>
      <w:r w:rsidRPr="004F707E">
        <w:rPr>
          <w:rFonts w:cs="Arial"/>
          <w:b/>
        </w:rPr>
        <w:t xml:space="preserve">Švýcarskem </w:t>
      </w:r>
      <w:r w:rsidRPr="004F707E">
        <w:rPr>
          <w:rFonts w:cs="Arial"/>
        </w:rPr>
        <w:t>(do 2023) a</w:t>
      </w:r>
      <w:r w:rsidR="00546698">
        <w:rPr>
          <w:rFonts w:cs="Arial"/>
        </w:rPr>
        <w:t> </w:t>
      </w:r>
      <w:r w:rsidRPr="004F707E">
        <w:rPr>
          <w:rFonts w:cs="Arial"/>
          <w:b/>
        </w:rPr>
        <w:t>Francií</w:t>
      </w:r>
      <w:r w:rsidRPr="004F707E">
        <w:rPr>
          <w:rFonts w:cs="Arial"/>
        </w:rPr>
        <w:t xml:space="preserve"> (do 2028), plánují zavedení 1 000 kamionů v</w:t>
      </w:r>
      <w:r w:rsidR="00546698">
        <w:rPr>
          <w:rFonts w:cs="Arial"/>
        </w:rPr>
        <w:t> </w:t>
      </w:r>
      <w:r w:rsidRPr="004F707E">
        <w:rPr>
          <w:rFonts w:cs="Arial"/>
        </w:rPr>
        <w:t xml:space="preserve">každé ze zmiňovaných zemí. Do Švýcarska by kamiony měla dodat společnost </w:t>
      </w:r>
      <w:r w:rsidRPr="004F707E">
        <w:rPr>
          <w:rFonts w:cs="Arial"/>
          <w:b/>
        </w:rPr>
        <w:t>Hyundai</w:t>
      </w:r>
      <w:r w:rsidRPr="004F707E">
        <w:rPr>
          <w:rFonts w:cs="Arial"/>
        </w:rPr>
        <w:t>, která chce dále pronikat i</w:t>
      </w:r>
      <w:r w:rsidR="00546698">
        <w:rPr>
          <w:rFonts w:cs="Arial"/>
        </w:rPr>
        <w:t> </w:t>
      </w:r>
      <w:r w:rsidRPr="004F707E">
        <w:rPr>
          <w:rFonts w:cs="Arial"/>
        </w:rPr>
        <w:t>na ostatní evropské trhy se svým typem kamionů. Ve spolupráci s</w:t>
      </w:r>
      <w:r w:rsidR="00546698">
        <w:rPr>
          <w:rFonts w:cs="Arial"/>
        </w:rPr>
        <w:t> </w:t>
      </w:r>
      <w:r w:rsidRPr="004F707E">
        <w:rPr>
          <w:rFonts w:cs="Arial"/>
          <w:b/>
        </w:rPr>
        <w:t xml:space="preserve">H2 </w:t>
      </w:r>
      <w:r w:rsidRPr="004711BD">
        <w:rPr>
          <w:rFonts w:cs="Arial"/>
          <w:b/>
          <w:lang w:val="en-GB"/>
        </w:rPr>
        <w:t>Energy</w:t>
      </w:r>
      <w:r w:rsidRPr="004F707E">
        <w:rPr>
          <w:rFonts w:cs="Arial"/>
        </w:rPr>
        <w:t xml:space="preserve"> by měli dodat do Evropy 1 600 kamionů do konce roku 2025.</w:t>
      </w:r>
    </w:p>
    <w:p w14:paraId="44F42D6B" w14:textId="77777777" w:rsidR="001B4719" w:rsidRPr="004F707E" w:rsidRDefault="001B4719" w:rsidP="001B4719">
      <w:pPr>
        <w:jc w:val="both"/>
      </w:pPr>
      <w:r w:rsidRPr="004F707E">
        <w:t xml:space="preserve">Další oblastí, kde se vodíková mobilita začíná čile rozvíjet je </w:t>
      </w:r>
      <w:r w:rsidRPr="004F707E">
        <w:rPr>
          <w:b/>
          <w:u w:val="single"/>
        </w:rPr>
        <w:t>železniční doprava</w:t>
      </w:r>
      <w:r w:rsidRPr="004F707E">
        <w:rPr>
          <w:u w:val="single"/>
        </w:rPr>
        <w:t>.</w:t>
      </w:r>
      <w:r>
        <w:rPr>
          <w:u w:val="single"/>
        </w:rPr>
        <w:t xml:space="preserve"> </w:t>
      </w:r>
      <w:r w:rsidRPr="004F707E">
        <w:t xml:space="preserve">Významným hráčem na trhu je zde francouzský výrobce prostředků hromadné dopravy </w:t>
      </w:r>
      <w:r w:rsidRPr="002725B2">
        <w:t>Alstom</w:t>
      </w:r>
      <w:r w:rsidRPr="004F707E">
        <w:t>, který podepsal smlouvu na výrobu 14 vodíkových vlakových souprav pro oblast Dolního Saska v</w:t>
      </w:r>
      <w:r w:rsidR="00546698">
        <w:t> </w:t>
      </w:r>
      <w:r w:rsidRPr="004F707E">
        <w:rPr>
          <w:b/>
        </w:rPr>
        <w:t>Německu</w:t>
      </w:r>
      <w:r w:rsidRPr="004F707E">
        <w:t xml:space="preserve"> v</w:t>
      </w:r>
      <w:r w:rsidR="00546698">
        <w:t> </w:t>
      </w:r>
      <w:r w:rsidRPr="004F707E">
        <w:t>celkovém objemu 81 mil. EUR, začít jezdit by měly v</w:t>
      </w:r>
      <w:r w:rsidR="00546698">
        <w:t> </w:t>
      </w:r>
      <w:r w:rsidRPr="004F707E">
        <w:t>prosinci 2021. V</w:t>
      </w:r>
      <w:r w:rsidR="00546698">
        <w:t> </w:t>
      </w:r>
      <w:r w:rsidRPr="004F707E">
        <w:t>současné době jsou v</w:t>
      </w:r>
      <w:r w:rsidR="00546698">
        <w:t> </w:t>
      </w:r>
      <w:r w:rsidRPr="004F707E">
        <w:t>komerčním provozu 2 vlakové soupravy. Mezi výrobce vodíkových vlaků se v</w:t>
      </w:r>
      <w:r w:rsidR="00546698">
        <w:t> </w:t>
      </w:r>
      <w:r w:rsidRPr="004F707E">
        <w:t>loňském roce zařadila i</w:t>
      </w:r>
      <w:r w:rsidR="00546698">
        <w:t> </w:t>
      </w:r>
      <w:r w:rsidRPr="004F707E">
        <w:t>společnost Siemens, která v</w:t>
      </w:r>
      <w:r w:rsidR="00546698">
        <w:t> </w:t>
      </w:r>
      <w:r w:rsidRPr="004F707E">
        <w:t>tomto směru spolupracuje s</w:t>
      </w:r>
      <w:r w:rsidR="00546698">
        <w:t> </w:t>
      </w:r>
      <w:r w:rsidRPr="004F707E">
        <w:rPr>
          <w:rFonts w:cs="Arial"/>
        </w:rPr>
        <w:t>kanadským výrobce palivových článků</w:t>
      </w:r>
      <w:r w:rsidRPr="004F707E">
        <w:rPr>
          <w:rFonts w:cs="Arial"/>
          <w:b/>
        </w:rPr>
        <w:t xml:space="preserve"> </w:t>
      </w:r>
      <w:r w:rsidRPr="002725B2">
        <w:rPr>
          <w:rFonts w:cs="Arial"/>
          <w:b/>
        </w:rPr>
        <w:t xml:space="preserve">Ballard Power </w:t>
      </w:r>
      <w:r w:rsidRPr="004F707E">
        <w:rPr>
          <w:rFonts w:cs="Arial"/>
          <w:b/>
        </w:rPr>
        <w:t>Systems Inc</w:t>
      </w:r>
      <w:r w:rsidRPr="004F707E">
        <w:t>.</w:t>
      </w:r>
      <w:r>
        <w:t xml:space="preserve"> </w:t>
      </w:r>
      <w:r w:rsidRPr="004F707E">
        <w:rPr>
          <w:rFonts w:cs="Arial"/>
        </w:rPr>
        <w:t>Tyto firmy chtějí společně vyvinout novou generaci palivových článků, které by se vyznačovaly mimořádně dlouhou životností, vysokým výkonem a</w:t>
      </w:r>
      <w:r w:rsidR="00546698">
        <w:rPr>
          <w:rFonts w:cs="Arial"/>
        </w:rPr>
        <w:t> </w:t>
      </w:r>
      <w:r w:rsidRPr="004F707E">
        <w:rPr>
          <w:rFonts w:cs="Arial"/>
        </w:rPr>
        <w:t>vyšší účinností.</w:t>
      </w:r>
      <w:r w:rsidRPr="004F707E">
        <w:t xml:space="preserve"> Japonská společnost </w:t>
      </w:r>
      <w:r w:rsidRPr="004F707E">
        <w:rPr>
          <w:b/>
        </w:rPr>
        <w:t xml:space="preserve">East Japan </w:t>
      </w:r>
      <w:r w:rsidRPr="002725B2">
        <w:rPr>
          <w:b/>
        </w:rPr>
        <w:t>Railway</w:t>
      </w:r>
      <w:r w:rsidRPr="004F707E">
        <w:rPr>
          <w:b/>
        </w:rPr>
        <w:t xml:space="preserve"> Co.</w:t>
      </w:r>
      <w:r w:rsidRPr="004F707E">
        <w:t xml:space="preserve"> oznámila strategii testování nové vlakové soupravy na vodíkový pohon v</w:t>
      </w:r>
      <w:r w:rsidR="00546698">
        <w:t> </w:t>
      </w:r>
      <w:r w:rsidRPr="004F707E">
        <w:t>roce 2021.</w:t>
      </w:r>
    </w:p>
    <w:p w14:paraId="667F3F9B" w14:textId="77777777" w:rsidR="001B4719" w:rsidRPr="004F707E" w:rsidRDefault="001B4719" w:rsidP="001B4719">
      <w:pPr>
        <w:pStyle w:val="Nadpis3"/>
        <w:numPr>
          <w:ilvl w:val="2"/>
          <w:numId w:val="9"/>
        </w:numPr>
        <w:tabs>
          <w:tab w:val="left" w:pos="851"/>
          <w:tab w:val="num" w:pos="2411"/>
        </w:tabs>
        <w:ind w:left="284" w:firstLine="0"/>
        <w:jc w:val="both"/>
      </w:pPr>
      <w:bookmarkStart w:id="475" w:name="_Toc13732613"/>
      <w:bookmarkStart w:id="476" w:name="_Toc19792364"/>
      <w:bookmarkStart w:id="477" w:name="_Toc25084491"/>
      <w:bookmarkStart w:id="478" w:name="_Toc25136821"/>
      <w:bookmarkStart w:id="479" w:name="_Toc34295947"/>
      <w:r w:rsidRPr="004F707E">
        <w:t>Strategický přístup EU k</w:t>
      </w:r>
      <w:r w:rsidR="00546698">
        <w:t> </w:t>
      </w:r>
      <w:r w:rsidRPr="004F707E">
        <w:t>vodíkové mobilitě</w:t>
      </w:r>
      <w:bookmarkEnd w:id="475"/>
      <w:bookmarkEnd w:id="476"/>
      <w:bookmarkEnd w:id="477"/>
      <w:bookmarkEnd w:id="478"/>
      <w:bookmarkEnd w:id="479"/>
      <w:r w:rsidRPr="004F707E">
        <w:t xml:space="preserve"> </w:t>
      </w:r>
    </w:p>
    <w:p w14:paraId="3AB80011" w14:textId="77777777" w:rsidR="001B4719" w:rsidRPr="004F707E" w:rsidRDefault="001B4719" w:rsidP="001B4719">
      <w:pPr>
        <w:jc w:val="both"/>
      </w:pPr>
      <w:r w:rsidRPr="004F707E">
        <w:t>Klíčovým strategickým dokumentem na úrovni EU je již zmiňovaný Hydrogen Roadmap Europe, byť je třeba poukázat, že zatím nejde o</w:t>
      </w:r>
      <w:r w:rsidR="00546698">
        <w:t> </w:t>
      </w:r>
      <w:r w:rsidRPr="004F707E">
        <w:t>strategii oficiální schválenou Evropskou komisí na nejvyšší politické úrovni (např. ve formě Sdělení EK). Dokument vypracovaný Společným podnikem pro palivové články a</w:t>
      </w:r>
      <w:r w:rsidR="00546698">
        <w:t> </w:t>
      </w:r>
      <w:r w:rsidRPr="004F707E">
        <w:t>vodík, který má tuto oblast v</w:t>
      </w:r>
      <w:r w:rsidR="00546698">
        <w:t> </w:t>
      </w:r>
      <w:r w:rsidRPr="004F707E">
        <w:t>rámci EU dlouhodobě na starost, však přesto nastiňuje jasnou vizi EU pro tuto oblast, kterou by měla ČR při svých strategických úvahách maximálně zohlednit.</w:t>
      </w:r>
    </w:p>
    <w:p w14:paraId="3FE74F16" w14:textId="77777777" w:rsidR="001B4719" w:rsidRPr="004F707E" w:rsidRDefault="001B4719" w:rsidP="001B4719">
      <w:pPr>
        <w:jc w:val="both"/>
      </w:pPr>
      <w:r w:rsidRPr="004F707E">
        <w:t>Dokument mj. ukazuje na potenciál, který by mohla mít vodíková mobilita v</w:t>
      </w:r>
      <w:r w:rsidR="00546698">
        <w:t> </w:t>
      </w:r>
      <w:r w:rsidRPr="004F707E">
        <w:t>rámci celé EU pro jednotlivé segmenty dopravy k</w:t>
      </w:r>
      <w:r w:rsidR="00546698">
        <w:t> </w:t>
      </w:r>
      <w:r w:rsidRPr="004F707E">
        <w:t>roku 2050, kdy největší prostor je spatřován v</w:t>
      </w:r>
      <w:r w:rsidR="00546698">
        <w:t> </w:t>
      </w:r>
      <w:r w:rsidRPr="004F707E">
        <w:t>oblasti velkých osobních vozidel (39% podíl na trhu) a</w:t>
      </w:r>
      <w:r w:rsidR="00546698">
        <w:t> </w:t>
      </w:r>
      <w:r w:rsidRPr="004F707E">
        <w:t>lehkých užitkových vozidel (30% podíl), po nichž následují těžká nákladní vozidla a</w:t>
      </w:r>
      <w:r w:rsidR="00546698">
        <w:t> </w:t>
      </w:r>
      <w:r w:rsidRPr="004F707E">
        <w:t>autobusy (22% podíl) a</w:t>
      </w:r>
      <w:r w:rsidR="00546698">
        <w:t> </w:t>
      </w:r>
      <w:r w:rsidRPr="004F707E">
        <w:t>v</w:t>
      </w:r>
      <w:r>
        <w:t> </w:t>
      </w:r>
      <w:r w:rsidRPr="004F707E">
        <w:t>neposlední řadě železniční vozidla (9% podíl).</w:t>
      </w:r>
    </w:p>
    <w:p w14:paraId="27D1E0B3" w14:textId="77777777" w:rsidR="006A06F0" w:rsidRPr="006A06F0" w:rsidRDefault="001B4719" w:rsidP="006A06F0">
      <w:pPr>
        <w:jc w:val="both"/>
      </w:pPr>
      <w:r w:rsidRPr="004F707E">
        <w:t>Tato dlouhodobá vize by se však měla realizovat postupně, čemuž odpovídají dílčí milníky pro jednotlivé segmenty dopravy k</w:t>
      </w:r>
      <w:r w:rsidR="00546698">
        <w:t> </w:t>
      </w:r>
      <w:r w:rsidRPr="004F707E">
        <w:t>roku 2030 a</w:t>
      </w:r>
      <w:r w:rsidR="00546698">
        <w:t> </w:t>
      </w:r>
      <w:r w:rsidRPr="004F707E">
        <w:t>2040</w:t>
      </w:r>
    </w:p>
    <w:p w14:paraId="39A60779" w14:textId="77777777" w:rsidR="006A06F0" w:rsidRDefault="006A06F0" w:rsidP="006A06F0">
      <w:pPr>
        <w:pStyle w:val="Titulek"/>
        <w:keepNext/>
      </w:pPr>
      <w:bookmarkStart w:id="480" w:name="_Toc34295872"/>
      <w:r>
        <w:lastRenderedPageBreak/>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13</w:t>
      </w:r>
      <w:r w:rsidR="001614BC">
        <w:rPr>
          <w:noProof/>
        </w:rPr>
        <w:fldChar w:fldCharType="end"/>
      </w:r>
      <w:r w:rsidRPr="006A06F0">
        <w:t xml:space="preserve"> </w:t>
      </w:r>
      <w:r w:rsidRPr="004F707E">
        <w:t>Dílčí milníky pro jednotlivé segmenty dopravy k</w:t>
      </w:r>
      <w:r w:rsidR="00546698">
        <w:t> </w:t>
      </w:r>
      <w:r w:rsidRPr="004F707E">
        <w:t>roku 2030 a</w:t>
      </w:r>
      <w:r w:rsidR="00546698">
        <w:t> </w:t>
      </w:r>
      <w:r w:rsidRPr="004F707E">
        <w:t>2040</w:t>
      </w:r>
      <w:bookmarkEnd w:id="480"/>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070"/>
        <w:gridCol w:w="3071"/>
        <w:gridCol w:w="3071"/>
      </w:tblGrid>
      <w:tr w:rsidR="001B4719" w:rsidRPr="004F707E" w14:paraId="7D958F5E" w14:textId="77777777" w:rsidTr="000050AA">
        <w:trPr>
          <w:tblHeader/>
        </w:trPr>
        <w:tc>
          <w:tcPr>
            <w:tcW w:w="3070" w:type="dxa"/>
            <w:tcBorders>
              <w:top w:val="single" w:sz="12" w:space="0" w:color="auto"/>
              <w:bottom w:val="single" w:sz="12" w:space="0" w:color="auto"/>
              <w:right w:val="single" w:sz="12" w:space="0" w:color="auto"/>
            </w:tcBorders>
            <w:shd w:val="clear" w:color="auto" w:fill="2196FF" w:themeFill="text2" w:themeFillTint="99"/>
          </w:tcPr>
          <w:p w14:paraId="31797BA2" w14:textId="77777777" w:rsidR="001B4719" w:rsidRPr="004F707E" w:rsidRDefault="001B4719" w:rsidP="000050AA">
            <w:pPr>
              <w:jc w:val="both"/>
              <w:rPr>
                <w:b/>
                <w:color w:val="FFFFFF" w:themeColor="background1"/>
              </w:rPr>
            </w:pPr>
            <w:r w:rsidRPr="004F707E">
              <w:rPr>
                <w:b/>
                <w:color w:val="FFFFFF" w:themeColor="background1"/>
              </w:rPr>
              <w:t>Druh dopravy</w:t>
            </w:r>
          </w:p>
        </w:tc>
        <w:tc>
          <w:tcPr>
            <w:tcW w:w="3071" w:type="dxa"/>
            <w:tcBorders>
              <w:top w:val="single" w:sz="12" w:space="0" w:color="auto"/>
              <w:left w:val="single" w:sz="12" w:space="0" w:color="auto"/>
              <w:bottom w:val="single" w:sz="12" w:space="0" w:color="auto"/>
              <w:right w:val="single" w:sz="12" w:space="0" w:color="auto"/>
            </w:tcBorders>
            <w:shd w:val="clear" w:color="auto" w:fill="2196FF" w:themeFill="text2" w:themeFillTint="99"/>
          </w:tcPr>
          <w:p w14:paraId="1C88C50E" w14:textId="77777777" w:rsidR="001B4719" w:rsidRPr="004F707E" w:rsidRDefault="001B4719" w:rsidP="004711BD">
            <w:pPr>
              <w:jc w:val="center"/>
              <w:rPr>
                <w:b/>
                <w:color w:val="FFFFFF" w:themeColor="background1"/>
              </w:rPr>
            </w:pPr>
            <w:r w:rsidRPr="004F707E">
              <w:rPr>
                <w:b/>
                <w:color w:val="FFFFFF" w:themeColor="background1"/>
              </w:rPr>
              <w:t>FCEV k</w:t>
            </w:r>
            <w:r w:rsidR="00546698">
              <w:rPr>
                <w:b/>
                <w:color w:val="FFFFFF" w:themeColor="background1"/>
              </w:rPr>
              <w:t> </w:t>
            </w:r>
            <w:r w:rsidRPr="004F707E">
              <w:rPr>
                <w:b/>
                <w:color w:val="FFFFFF" w:themeColor="background1"/>
              </w:rPr>
              <w:t>2030</w:t>
            </w:r>
          </w:p>
        </w:tc>
        <w:tc>
          <w:tcPr>
            <w:tcW w:w="3071" w:type="dxa"/>
            <w:tcBorders>
              <w:top w:val="single" w:sz="12" w:space="0" w:color="auto"/>
              <w:left w:val="single" w:sz="12" w:space="0" w:color="auto"/>
              <w:bottom w:val="single" w:sz="12" w:space="0" w:color="auto"/>
            </w:tcBorders>
            <w:shd w:val="clear" w:color="auto" w:fill="2196FF" w:themeFill="text2" w:themeFillTint="99"/>
          </w:tcPr>
          <w:p w14:paraId="45FC5D56" w14:textId="77777777" w:rsidR="001B4719" w:rsidRPr="004F707E" w:rsidRDefault="001B4719" w:rsidP="004711BD">
            <w:pPr>
              <w:jc w:val="center"/>
              <w:rPr>
                <w:b/>
                <w:color w:val="FFFFFF" w:themeColor="background1"/>
              </w:rPr>
            </w:pPr>
            <w:r w:rsidRPr="004F707E">
              <w:rPr>
                <w:b/>
                <w:color w:val="FFFFFF" w:themeColor="background1"/>
              </w:rPr>
              <w:t>FCEV k</w:t>
            </w:r>
            <w:r w:rsidR="00546698">
              <w:rPr>
                <w:b/>
                <w:color w:val="FFFFFF" w:themeColor="background1"/>
              </w:rPr>
              <w:t> </w:t>
            </w:r>
            <w:r w:rsidRPr="004F707E">
              <w:rPr>
                <w:b/>
                <w:color w:val="FFFFFF" w:themeColor="background1"/>
              </w:rPr>
              <w:t>2040</w:t>
            </w:r>
          </w:p>
        </w:tc>
      </w:tr>
      <w:tr w:rsidR="001B4719" w:rsidRPr="004F707E" w14:paraId="27F13E40" w14:textId="77777777" w:rsidTr="000050AA">
        <w:tc>
          <w:tcPr>
            <w:tcW w:w="3070" w:type="dxa"/>
            <w:tcBorders>
              <w:top w:val="single" w:sz="12" w:space="0" w:color="auto"/>
              <w:right w:val="single" w:sz="12" w:space="0" w:color="auto"/>
            </w:tcBorders>
            <w:vAlign w:val="center"/>
          </w:tcPr>
          <w:p w14:paraId="6DAA1543" w14:textId="77777777" w:rsidR="001B4719" w:rsidRPr="004F707E" w:rsidRDefault="001B4719" w:rsidP="000050AA">
            <w:pPr>
              <w:jc w:val="both"/>
              <w:rPr>
                <w:rFonts w:cstheme="minorHAnsi"/>
              </w:rPr>
            </w:pPr>
            <w:r w:rsidRPr="004F707E">
              <w:rPr>
                <w:rFonts w:cstheme="minorHAnsi"/>
              </w:rPr>
              <w:t xml:space="preserve">Osobní vozidla </w:t>
            </w:r>
          </w:p>
        </w:tc>
        <w:tc>
          <w:tcPr>
            <w:tcW w:w="3071" w:type="dxa"/>
            <w:tcBorders>
              <w:top w:val="single" w:sz="12" w:space="0" w:color="auto"/>
              <w:left w:val="single" w:sz="12" w:space="0" w:color="auto"/>
              <w:right w:val="single" w:sz="12" w:space="0" w:color="auto"/>
            </w:tcBorders>
            <w:vAlign w:val="center"/>
          </w:tcPr>
          <w:p w14:paraId="30FE9EF5" w14:textId="77777777" w:rsidR="001B4719" w:rsidRPr="004F707E" w:rsidRDefault="001B4719" w:rsidP="004711BD">
            <w:pPr>
              <w:jc w:val="center"/>
              <w:rPr>
                <w:rFonts w:cstheme="minorHAnsi"/>
              </w:rPr>
            </w:pPr>
            <w:r w:rsidRPr="004F707E">
              <w:rPr>
                <w:rFonts w:cstheme="minorHAnsi"/>
              </w:rPr>
              <w:t>Každé 22. vozidlo je FCEV</w:t>
            </w:r>
          </w:p>
        </w:tc>
        <w:tc>
          <w:tcPr>
            <w:tcW w:w="3071" w:type="dxa"/>
            <w:tcBorders>
              <w:top w:val="single" w:sz="12" w:space="0" w:color="auto"/>
              <w:left w:val="single" w:sz="12" w:space="0" w:color="auto"/>
            </w:tcBorders>
            <w:vAlign w:val="center"/>
          </w:tcPr>
          <w:p w14:paraId="3324DAF9" w14:textId="77777777" w:rsidR="001B4719" w:rsidRPr="004F707E" w:rsidRDefault="001B4719" w:rsidP="004711BD">
            <w:pPr>
              <w:jc w:val="center"/>
              <w:rPr>
                <w:rFonts w:cstheme="minorHAnsi"/>
              </w:rPr>
            </w:pPr>
            <w:r w:rsidRPr="004F707E">
              <w:rPr>
                <w:rFonts w:cstheme="minorHAnsi"/>
              </w:rPr>
              <w:t>Každé 7. vozidlo je FCEV</w:t>
            </w:r>
          </w:p>
        </w:tc>
      </w:tr>
      <w:tr w:rsidR="001B4719" w:rsidRPr="004F707E" w14:paraId="4611E1DA" w14:textId="77777777" w:rsidTr="000050AA">
        <w:tc>
          <w:tcPr>
            <w:tcW w:w="3070" w:type="dxa"/>
            <w:tcBorders>
              <w:right w:val="single" w:sz="12" w:space="0" w:color="auto"/>
            </w:tcBorders>
            <w:vAlign w:val="center"/>
          </w:tcPr>
          <w:p w14:paraId="6CEDF523" w14:textId="77777777" w:rsidR="001B4719" w:rsidRPr="004F707E" w:rsidRDefault="001B4719" w:rsidP="000050AA">
            <w:pPr>
              <w:jc w:val="both"/>
              <w:rPr>
                <w:rFonts w:cstheme="minorHAnsi"/>
              </w:rPr>
            </w:pPr>
            <w:r w:rsidRPr="004F707E">
              <w:rPr>
                <w:rFonts w:cstheme="minorHAnsi"/>
              </w:rPr>
              <w:t xml:space="preserve">Lehká užitková vozidla </w:t>
            </w:r>
          </w:p>
        </w:tc>
        <w:tc>
          <w:tcPr>
            <w:tcW w:w="3071" w:type="dxa"/>
            <w:tcBorders>
              <w:left w:val="single" w:sz="12" w:space="0" w:color="auto"/>
              <w:right w:val="single" w:sz="12" w:space="0" w:color="auto"/>
            </w:tcBorders>
            <w:vAlign w:val="center"/>
          </w:tcPr>
          <w:p w14:paraId="7FE24263" w14:textId="77777777" w:rsidR="001B4719" w:rsidRPr="004F707E" w:rsidRDefault="001B4719" w:rsidP="004711BD">
            <w:pPr>
              <w:jc w:val="center"/>
              <w:rPr>
                <w:rFonts w:cstheme="minorHAnsi"/>
              </w:rPr>
            </w:pPr>
            <w:r w:rsidRPr="004F707E">
              <w:rPr>
                <w:rFonts w:cstheme="minorHAnsi"/>
              </w:rPr>
              <w:t>Každé 12. vozidlo je FCEV</w:t>
            </w:r>
          </w:p>
        </w:tc>
        <w:tc>
          <w:tcPr>
            <w:tcW w:w="3071" w:type="dxa"/>
            <w:tcBorders>
              <w:left w:val="single" w:sz="12" w:space="0" w:color="auto"/>
            </w:tcBorders>
            <w:vAlign w:val="center"/>
          </w:tcPr>
          <w:p w14:paraId="2619C7C7" w14:textId="77777777" w:rsidR="001B4719" w:rsidRPr="004F707E" w:rsidRDefault="001B4719" w:rsidP="004711BD">
            <w:pPr>
              <w:jc w:val="center"/>
              <w:rPr>
                <w:rFonts w:cstheme="minorHAnsi"/>
              </w:rPr>
            </w:pPr>
            <w:r w:rsidRPr="004F707E">
              <w:rPr>
                <w:rFonts w:cstheme="minorHAnsi"/>
              </w:rPr>
              <w:t>Každé 5. vozidlo je FCEV</w:t>
            </w:r>
          </w:p>
        </w:tc>
      </w:tr>
      <w:tr w:rsidR="001B4719" w:rsidRPr="004F707E" w14:paraId="5A3ED2A9" w14:textId="77777777" w:rsidTr="000050AA">
        <w:tc>
          <w:tcPr>
            <w:tcW w:w="3070" w:type="dxa"/>
            <w:tcBorders>
              <w:right w:val="single" w:sz="12" w:space="0" w:color="auto"/>
            </w:tcBorders>
            <w:vAlign w:val="center"/>
          </w:tcPr>
          <w:p w14:paraId="371249C1" w14:textId="77777777" w:rsidR="001B4719" w:rsidRPr="004F707E" w:rsidRDefault="001B4719" w:rsidP="00546698">
            <w:pPr>
              <w:jc w:val="both"/>
              <w:rPr>
                <w:rFonts w:cstheme="minorHAnsi"/>
              </w:rPr>
            </w:pPr>
            <w:r w:rsidRPr="004F707E">
              <w:rPr>
                <w:rFonts w:cstheme="minorHAnsi"/>
              </w:rPr>
              <w:t>Těžká nákladní vozidla a</w:t>
            </w:r>
            <w:r w:rsidR="00546698">
              <w:rPr>
                <w:rFonts w:cstheme="minorHAnsi"/>
              </w:rPr>
              <w:t> </w:t>
            </w:r>
            <w:r w:rsidRPr="004F707E">
              <w:rPr>
                <w:rFonts w:cstheme="minorHAnsi"/>
              </w:rPr>
              <w:t xml:space="preserve">autobusy </w:t>
            </w:r>
          </w:p>
        </w:tc>
        <w:tc>
          <w:tcPr>
            <w:tcW w:w="3071" w:type="dxa"/>
            <w:tcBorders>
              <w:left w:val="single" w:sz="12" w:space="0" w:color="auto"/>
              <w:right w:val="single" w:sz="12" w:space="0" w:color="auto"/>
            </w:tcBorders>
            <w:vAlign w:val="center"/>
          </w:tcPr>
          <w:p w14:paraId="53A4379F" w14:textId="77777777" w:rsidR="001B4719" w:rsidRPr="004F707E" w:rsidRDefault="001B4719" w:rsidP="004711BD">
            <w:pPr>
              <w:jc w:val="center"/>
              <w:rPr>
                <w:rFonts w:cstheme="minorHAnsi"/>
              </w:rPr>
            </w:pPr>
            <w:r w:rsidRPr="004F707E">
              <w:rPr>
                <w:rFonts w:cstheme="minorHAnsi"/>
              </w:rPr>
              <w:t>45 000 FCEV/FCEB</w:t>
            </w:r>
          </w:p>
        </w:tc>
        <w:tc>
          <w:tcPr>
            <w:tcW w:w="3071" w:type="dxa"/>
            <w:tcBorders>
              <w:left w:val="single" w:sz="12" w:space="0" w:color="auto"/>
            </w:tcBorders>
            <w:vAlign w:val="center"/>
          </w:tcPr>
          <w:p w14:paraId="5DF6A5AD" w14:textId="77777777" w:rsidR="001B4719" w:rsidRPr="004F707E" w:rsidRDefault="001B4719" w:rsidP="004711BD">
            <w:pPr>
              <w:jc w:val="center"/>
              <w:rPr>
                <w:rFonts w:cstheme="minorHAnsi"/>
              </w:rPr>
            </w:pPr>
            <w:r w:rsidRPr="004F707E">
              <w:rPr>
                <w:rFonts w:cstheme="minorHAnsi"/>
              </w:rPr>
              <w:t>450 000 FCEV/FCEB</w:t>
            </w:r>
          </w:p>
        </w:tc>
      </w:tr>
      <w:tr w:rsidR="001B4719" w:rsidRPr="004F707E" w14:paraId="299EF23A" w14:textId="77777777" w:rsidTr="000050AA">
        <w:tc>
          <w:tcPr>
            <w:tcW w:w="3070" w:type="dxa"/>
            <w:tcBorders>
              <w:bottom w:val="single" w:sz="12" w:space="0" w:color="auto"/>
              <w:right w:val="single" w:sz="12" w:space="0" w:color="auto"/>
            </w:tcBorders>
            <w:vAlign w:val="center"/>
          </w:tcPr>
          <w:p w14:paraId="37247E0E" w14:textId="77777777" w:rsidR="001B4719" w:rsidRPr="004F707E" w:rsidRDefault="001B4719" w:rsidP="000050AA">
            <w:pPr>
              <w:jc w:val="both"/>
              <w:rPr>
                <w:rFonts w:cstheme="minorHAnsi"/>
              </w:rPr>
            </w:pPr>
            <w:r w:rsidRPr="004F707E">
              <w:rPr>
                <w:rFonts w:cstheme="minorHAnsi"/>
              </w:rPr>
              <w:t xml:space="preserve">Vlaky (náhrada za diesel lokomotivy) </w:t>
            </w:r>
          </w:p>
        </w:tc>
        <w:tc>
          <w:tcPr>
            <w:tcW w:w="3071" w:type="dxa"/>
            <w:tcBorders>
              <w:left w:val="single" w:sz="12" w:space="0" w:color="auto"/>
              <w:bottom w:val="single" w:sz="12" w:space="0" w:color="auto"/>
              <w:right w:val="single" w:sz="12" w:space="0" w:color="auto"/>
            </w:tcBorders>
            <w:vAlign w:val="center"/>
          </w:tcPr>
          <w:p w14:paraId="0E049EB4" w14:textId="77777777" w:rsidR="001B4719" w:rsidRPr="004F707E" w:rsidRDefault="001B4719" w:rsidP="004711BD">
            <w:pPr>
              <w:jc w:val="center"/>
              <w:rPr>
                <w:rFonts w:cstheme="minorHAnsi"/>
              </w:rPr>
            </w:pPr>
            <w:r w:rsidRPr="004F707E">
              <w:rPr>
                <w:rFonts w:cstheme="minorHAnsi"/>
              </w:rPr>
              <w:t>570</w:t>
            </w:r>
          </w:p>
        </w:tc>
        <w:tc>
          <w:tcPr>
            <w:tcW w:w="3071" w:type="dxa"/>
            <w:tcBorders>
              <w:left w:val="single" w:sz="12" w:space="0" w:color="auto"/>
            </w:tcBorders>
            <w:vAlign w:val="center"/>
          </w:tcPr>
          <w:p w14:paraId="62491B08" w14:textId="77777777" w:rsidR="001B4719" w:rsidRPr="004F707E" w:rsidRDefault="001B4719" w:rsidP="004711BD">
            <w:pPr>
              <w:jc w:val="center"/>
              <w:rPr>
                <w:rFonts w:cstheme="minorHAnsi"/>
              </w:rPr>
            </w:pPr>
            <w:r w:rsidRPr="004F707E">
              <w:rPr>
                <w:rFonts w:cstheme="minorHAnsi"/>
              </w:rPr>
              <w:t>2 000</w:t>
            </w:r>
          </w:p>
        </w:tc>
      </w:tr>
    </w:tbl>
    <w:p w14:paraId="51BF5943" w14:textId="77777777" w:rsidR="006A06F0" w:rsidRPr="006A06F0" w:rsidRDefault="001B4719" w:rsidP="006A06F0">
      <w:pPr>
        <w:jc w:val="both"/>
        <w:rPr>
          <w:rFonts w:cstheme="minorHAnsi"/>
        </w:rPr>
      </w:pPr>
      <w:r w:rsidRPr="004F707E">
        <w:rPr>
          <w:rFonts w:cstheme="minorHAnsi"/>
        </w:rPr>
        <w:t>Dokument též obsahuje podrobnější predikce pro jednotlivé typy silničních vozidel, a</w:t>
      </w:r>
      <w:r w:rsidR="00546698">
        <w:rPr>
          <w:rFonts w:cstheme="minorHAnsi"/>
        </w:rPr>
        <w:t> </w:t>
      </w:r>
      <w:r w:rsidRPr="004F707E">
        <w:rPr>
          <w:rFonts w:cstheme="minorHAnsi"/>
        </w:rPr>
        <w:t>to jednak z</w:t>
      </w:r>
      <w:r w:rsidR="00546698">
        <w:rPr>
          <w:rFonts w:cstheme="minorHAnsi"/>
        </w:rPr>
        <w:t> </w:t>
      </w:r>
      <w:r w:rsidRPr="004F707E">
        <w:rPr>
          <w:rFonts w:cstheme="minorHAnsi"/>
        </w:rPr>
        <w:t>hlediska ročních prodejů, tak i</w:t>
      </w:r>
      <w:r w:rsidR="00546698">
        <w:rPr>
          <w:rFonts w:cstheme="minorHAnsi"/>
        </w:rPr>
        <w:t> </w:t>
      </w:r>
      <w:r w:rsidRPr="004F707E">
        <w:rPr>
          <w:rFonts w:cstheme="minorHAnsi"/>
        </w:rPr>
        <w:t>z</w:t>
      </w:r>
      <w:r>
        <w:rPr>
          <w:rFonts w:cstheme="minorHAnsi"/>
        </w:rPr>
        <w:t> </w:t>
      </w:r>
      <w:r w:rsidRPr="004F707E">
        <w:rPr>
          <w:rFonts w:cstheme="minorHAnsi"/>
        </w:rPr>
        <w:t>hlediska celkového podílu na trhu.</w:t>
      </w:r>
    </w:p>
    <w:p w14:paraId="34D0300A" w14:textId="77777777" w:rsidR="006A06F0" w:rsidRDefault="006A06F0" w:rsidP="006A06F0">
      <w:pPr>
        <w:pStyle w:val="Titulek"/>
        <w:keepNext/>
      </w:pPr>
      <w:bookmarkStart w:id="481" w:name="_Toc34295873"/>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14</w:t>
      </w:r>
      <w:r w:rsidR="001614BC">
        <w:rPr>
          <w:noProof/>
        </w:rPr>
        <w:fldChar w:fldCharType="end"/>
      </w:r>
      <w:r w:rsidRPr="006A06F0">
        <w:t xml:space="preserve"> </w:t>
      </w:r>
      <w:r w:rsidRPr="004F707E">
        <w:t>Predikce pro jednotlivé typy silničních vozidel z</w:t>
      </w:r>
      <w:r w:rsidR="00546698">
        <w:t> </w:t>
      </w:r>
      <w:r w:rsidRPr="004F707E">
        <w:t>hlediska ročních prodejů a</w:t>
      </w:r>
      <w:r w:rsidR="00546698">
        <w:t> </w:t>
      </w:r>
      <w:r w:rsidRPr="004F707E">
        <w:t>celkového podílu na trhu v</w:t>
      </w:r>
      <w:r w:rsidR="00546698">
        <w:t> </w:t>
      </w:r>
      <w:r w:rsidRPr="004F707E">
        <w:t>letech 2030 a</w:t>
      </w:r>
      <w:r w:rsidR="00546698">
        <w:t> </w:t>
      </w:r>
      <w:r w:rsidRPr="004F707E">
        <w:t>2050</w:t>
      </w:r>
      <w:bookmarkEnd w:id="4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418"/>
        <w:gridCol w:w="1559"/>
        <w:gridCol w:w="1417"/>
        <w:gridCol w:w="1696"/>
      </w:tblGrid>
      <w:tr w:rsidR="001B4719" w:rsidRPr="004F707E" w14:paraId="37A06AE5" w14:textId="77777777" w:rsidTr="000050AA">
        <w:trPr>
          <w:tblHeader/>
        </w:trPr>
        <w:tc>
          <w:tcPr>
            <w:tcW w:w="2972"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31CFBB29" w14:textId="77777777" w:rsidR="001B4719" w:rsidRPr="004F707E" w:rsidRDefault="001B4719" w:rsidP="000050AA">
            <w:pPr>
              <w:jc w:val="both"/>
              <w:rPr>
                <w:b/>
                <w:color w:val="FFFFFF" w:themeColor="background1"/>
              </w:rPr>
            </w:pPr>
            <w:r w:rsidRPr="004F707E">
              <w:rPr>
                <w:b/>
                <w:color w:val="FFFFFF" w:themeColor="background1"/>
              </w:rPr>
              <w:t xml:space="preserve">Druh dopravy </w:t>
            </w:r>
          </w:p>
        </w:tc>
        <w:tc>
          <w:tcPr>
            <w:tcW w:w="1418"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094BF155" w14:textId="77777777" w:rsidR="001B4719" w:rsidRPr="004F707E" w:rsidRDefault="001B4719" w:rsidP="004711BD">
            <w:pPr>
              <w:jc w:val="center"/>
              <w:rPr>
                <w:b/>
                <w:color w:val="FFFFFF" w:themeColor="background1"/>
              </w:rPr>
            </w:pPr>
            <w:r w:rsidRPr="004F707E">
              <w:rPr>
                <w:b/>
                <w:color w:val="FFFFFF" w:themeColor="background1"/>
              </w:rPr>
              <w:t>Podíl FCEV na nových prodejích k</w:t>
            </w:r>
            <w:r w:rsidR="00546698">
              <w:rPr>
                <w:b/>
                <w:color w:val="FFFFFF" w:themeColor="background1"/>
              </w:rPr>
              <w:t> </w:t>
            </w:r>
            <w:r w:rsidRPr="004F707E">
              <w:rPr>
                <w:b/>
                <w:color w:val="FFFFFF" w:themeColor="background1"/>
              </w:rPr>
              <w:t>r. 2030</w:t>
            </w:r>
          </w:p>
        </w:tc>
        <w:tc>
          <w:tcPr>
            <w:tcW w:w="1559"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417610C3" w14:textId="77777777" w:rsidR="001B4719" w:rsidRPr="004F707E" w:rsidRDefault="001B4719" w:rsidP="004711BD">
            <w:pPr>
              <w:jc w:val="center"/>
              <w:rPr>
                <w:b/>
                <w:color w:val="FFFFFF" w:themeColor="background1"/>
              </w:rPr>
            </w:pPr>
            <w:r w:rsidRPr="004F707E">
              <w:rPr>
                <w:b/>
                <w:color w:val="FFFFFF" w:themeColor="background1"/>
              </w:rPr>
              <w:t>Podíl FCEV na celkovém trhu vozidel k</w:t>
            </w:r>
            <w:r w:rsidR="00546698">
              <w:rPr>
                <w:b/>
                <w:color w:val="FFFFFF" w:themeColor="background1"/>
              </w:rPr>
              <w:t> </w:t>
            </w:r>
            <w:r w:rsidRPr="004F707E">
              <w:rPr>
                <w:b/>
                <w:color w:val="FFFFFF" w:themeColor="background1"/>
              </w:rPr>
              <w:t>r. 2030</w:t>
            </w:r>
          </w:p>
        </w:tc>
        <w:tc>
          <w:tcPr>
            <w:tcW w:w="1417"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696DDC3C" w14:textId="77777777" w:rsidR="001B4719" w:rsidRPr="004F707E" w:rsidRDefault="001B4719" w:rsidP="004711BD">
            <w:pPr>
              <w:jc w:val="center"/>
              <w:rPr>
                <w:b/>
                <w:color w:val="FFFFFF" w:themeColor="background1"/>
              </w:rPr>
            </w:pPr>
            <w:r w:rsidRPr="004F707E">
              <w:rPr>
                <w:b/>
                <w:color w:val="FFFFFF" w:themeColor="background1"/>
              </w:rPr>
              <w:t>Podíl FCEV na nových prodejích k</w:t>
            </w:r>
            <w:r w:rsidR="00546698">
              <w:rPr>
                <w:b/>
                <w:color w:val="FFFFFF" w:themeColor="background1"/>
              </w:rPr>
              <w:t> </w:t>
            </w:r>
            <w:r w:rsidRPr="004F707E">
              <w:rPr>
                <w:b/>
                <w:color w:val="FFFFFF" w:themeColor="background1"/>
              </w:rPr>
              <w:t>r. 2050</w:t>
            </w:r>
          </w:p>
        </w:tc>
        <w:tc>
          <w:tcPr>
            <w:tcW w:w="1696" w:type="dxa"/>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36A6CA01" w14:textId="77777777" w:rsidR="001B4719" w:rsidRPr="004F707E" w:rsidRDefault="001B4719" w:rsidP="004711BD">
            <w:pPr>
              <w:jc w:val="center"/>
              <w:rPr>
                <w:b/>
                <w:color w:val="FFFFFF" w:themeColor="background1"/>
              </w:rPr>
            </w:pPr>
            <w:r w:rsidRPr="004F707E">
              <w:rPr>
                <w:b/>
                <w:color w:val="FFFFFF" w:themeColor="background1"/>
              </w:rPr>
              <w:t>Podíl FCEV na celkovém trhu vozidel k</w:t>
            </w:r>
            <w:r w:rsidR="00546698">
              <w:rPr>
                <w:b/>
                <w:color w:val="FFFFFF" w:themeColor="background1"/>
              </w:rPr>
              <w:t> </w:t>
            </w:r>
            <w:r w:rsidRPr="004F707E">
              <w:rPr>
                <w:b/>
                <w:color w:val="FFFFFF" w:themeColor="background1"/>
              </w:rPr>
              <w:t>r. 2050</w:t>
            </w:r>
          </w:p>
        </w:tc>
      </w:tr>
      <w:tr w:rsidR="001B4719" w:rsidRPr="004F707E" w14:paraId="24B1F13E" w14:textId="77777777" w:rsidTr="000050AA">
        <w:trPr>
          <w:trHeight w:val="850"/>
        </w:trPr>
        <w:tc>
          <w:tcPr>
            <w:tcW w:w="2972" w:type="dxa"/>
            <w:tcBorders>
              <w:top w:val="single" w:sz="12" w:space="0" w:color="auto"/>
              <w:left w:val="single" w:sz="12" w:space="0" w:color="auto"/>
              <w:right w:val="single" w:sz="12" w:space="0" w:color="auto"/>
            </w:tcBorders>
            <w:vAlign w:val="center"/>
          </w:tcPr>
          <w:p w14:paraId="2031A790"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59264" behindDoc="0" locked="0" layoutInCell="1" allowOverlap="1" wp14:anchorId="3D7B194F" wp14:editId="3686D26D">
                  <wp:simplePos x="0" y="0"/>
                  <wp:positionH relativeFrom="column">
                    <wp:posOffset>1276350</wp:posOffset>
                  </wp:positionH>
                  <wp:positionV relativeFrom="paragraph">
                    <wp:posOffset>68580</wp:posOffset>
                  </wp:positionV>
                  <wp:extent cx="466725" cy="261821"/>
                  <wp:effectExtent l="0" t="0" r="0" b="5080"/>
                  <wp:wrapNone/>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7305" cy="2621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 xml:space="preserve">Malá osobní vozidla </w:t>
            </w:r>
          </w:p>
        </w:tc>
        <w:tc>
          <w:tcPr>
            <w:tcW w:w="1418" w:type="dxa"/>
            <w:tcBorders>
              <w:top w:val="single" w:sz="12" w:space="0" w:color="auto"/>
              <w:left w:val="single" w:sz="12" w:space="0" w:color="auto"/>
              <w:right w:val="single" w:sz="12" w:space="0" w:color="auto"/>
            </w:tcBorders>
            <w:vAlign w:val="center"/>
          </w:tcPr>
          <w:p w14:paraId="2BF60705" w14:textId="77777777" w:rsidR="001B4719" w:rsidRPr="004F707E" w:rsidRDefault="001B4719" w:rsidP="004711BD">
            <w:pPr>
              <w:jc w:val="center"/>
              <w:rPr>
                <w:rFonts w:cstheme="minorHAnsi"/>
              </w:rPr>
            </w:pPr>
            <w:r w:rsidRPr="004F707E">
              <w:rPr>
                <w:rFonts w:cstheme="minorHAnsi"/>
              </w:rPr>
              <w:t>2 %</w:t>
            </w:r>
          </w:p>
        </w:tc>
        <w:tc>
          <w:tcPr>
            <w:tcW w:w="1559" w:type="dxa"/>
            <w:tcBorders>
              <w:top w:val="single" w:sz="12" w:space="0" w:color="auto"/>
              <w:left w:val="single" w:sz="12" w:space="0" w:color="auto"/>
              <w:right w:val="single" w:sz="12" w:space="0" w:color="auto"/>
            </w:tcBorders>
            <w:vAlign w:val="center"/>
          </w:tcPr>
          <w:p w14:paraId="18781E24" w14:textId="77777777" w:rsidR="001B4719" w:rsidRPr="004F707E" w:rsidRDefault="001B4719" w:rsidP="004711BD">
            <w:pPr>
              <w:jc w:val="center"/>
              <w:rPr>
                <w:rFonts w:cstheme="minorHAnsi"/>
              </w:rPr>
            </w:pPr>
            <w:r w:rsidRPr="004F707E">
              <w:rPr>
                <w:rFonts w:cstheme="minorHAnsi"/>
              </w:rPr>
              <w:t>0 %</w:t>
            </w:r>
          </w:p>
        </w:tc>
        <w:tc>
          <w:tcPr>
            <w:tcW w:w="1417" w:type="dxa"/>
            <w:tcBorders>
              <w:top w:val="single" w:sz="12" w:space="0" w:color="auto"/>
              <w:left w:val="single" w:sz="12" w:space="0" w:color="auto"/>
              <w:right w:val="single" w:sz="12" w:space="0" w:color="auto"/>
            </w:tcBorders>
            <w:vAlign w:val="center"/>
          </w:tcPr>
          <w:p w14:paraId="5328FDF4" w14:textId="77777777" w:rsidR="001B4719" w:rsidRPr="004F707E" w:rsidRDefault="001B4719" w:rsidP="004711BD">
            <w:pPr>
              <w:jc w:val="center"/>
              <w:rPr>
                <w:rFonts w:cstheme="minorHAnsi"/>
              </w:rPr>
            </w:pPr>
            <w:r w:rsidRPr="004F707E">
              <w:rPr>
                <w:rFonts w:cstheme="minorHAnsi"/>
              </w:rPr>
              <w:t>22 %</w:t>
            </w:r>
          </w:p>
        </w:tc>
        <w:tc>
          <w:tcPr>
            <w:tcW w:w="1696" w:type="dxa"/>
            <w:tcBorders>
              <w:top w:val="single" w:sz="12" w:space="0" w:color="auto"/>
              <w:left w:val="single" w:sz="12" w:space="0" w:color="auto"/>
              <w:right w:val="single" w:sz="12" w:space="0" w:color="auto"/>
            </w:tcBorders>
            <w:vAlign w:val="center"/>
          </w:tcPr>
          <w:p w14:paraId="66A3604A" w14:textId="77777777" w:rsidR="001B4719" w:rsidRPr="004F707E" w:rsidRDefault="001B4719" w:rsidP="004711BD">
            <w:pPr>
              <w:jc w:val="center"/>
              <w:rPr>
                <w:rFonts w:cstheme="minorHAnsi"/>
              </w:rPr>
            </w:pPr>
            <w:r w:rsidRPr="004F707E">
              <w:rPr>
                <w:rFonts w:cstheme="minorHAnsi"/>
              </w:rPr>
              <w:t>14 %</w:t>
            </w:r>
          </w:p>
        </w:tc>
      </w:tr>
      <w:tr w:rsidR="001B4719" w:rsidRPr="004F707E" w14:paraId="7A028C48" w14:textId="77777777" w:rsidTr="000050AA">
        <w:trPr>
          <w:trHeight w:val="850"/>
        </w:trPr>
        <w:tc>
          <w:tcPr>
            <w:tcW w:w="2972" w:type="dxa"/>
            <w:tcBorders>
              <w:left w:val="single" w:sz="12" w:space="0" w:color="auto"/>
              <w:right w:val="single" w:sz="12" w:space="0" w:color="auto"/>
            </w:tcBorders>
            <w:vAlign w:val="center"/>
          </w:tcPr>
          <w:p w14:paraId="5980A2C0"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60288" behindDoc="0" locked="0" layoutInCell="1" allowOverlap="1" wp14:anchorId="6D437A8F" wp14:editId="50C1AD6B">
                  <wp:simplePos x="0" y="0"/>
                  <wp:positionH relativeFrom="column">
                    <wp:posOffset>1304290</wp:posOffset>
                  </wp:positionH>
                  <wp:positionV relativeFrom="paragraph">
                    <wp:posOffset>156845</wp:posOffset>
                  </wp:positionV>
                  <wp:extent cx="436880" cy="247650"/>
                  <wp:effectExtent l="0" t="0" r="1270" b="0"/>
                  <wp:wrapNone/>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6880" cy="247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 xml:space="preserve">Velká osobní vozidla </w:t>
            </w:r>
          </w:p>
          <w:p w14:paraId="36F087AD" w14:textId="77777777" w:rsidR="001B4719" w:rsidRPr="004F707E" w:rsidRDefault="001B4719" w:rsidP="000050AA">
            <w:pPr>
              <w:jc w:val="both"/>
              <w:rPr>
                <w:rFonts w:cstheme="minorHAnsi"/>
              </w:rPr>
            </w:pPr>
            <w:r w:rsidRPr="004F707E">
              <w:rPr>
                <w:rFonts w:cstheme="minorHAnsi"/>
              </w:rPr>
              <w:t xml:space="preserve">(SUV) </w:t>
            </w:r>
          </w:p>
        </w:tc>
        <w:tc>
          <w:tcPr>
            <w:tcW w:w="1418" w:type="dxa"/>
            <w:tcBorders>
              <w:left w:val="single" w:sz="12" w:space="0" w:color="auto"/>
              <w:right w:val="single" w:sz="12" w:space="0" w:color="auto"/>
            </w:tcBorders>
            <w:vAlign w:val="center"/>
          </w:tcPr>
          <w:p w14:paraId="4491CF37" w14:textId="77777777" w:rsidR="001B4719" w:rsidRPr="004F707E" w:rsidRDefault="001B4719" w:rsidP="004711BD">
            <w:pPr>
              <w:jc w:val="center"/>
              <w:rPr>
                <w:rFonts w:cstheme="minorHAnsi"/>
              </w:rPr>
            </w:pPr>
            <w:r w:rsidRPr="004F707E">
              <w:rPr>
                <w:rFonts w:cstheme="minorHAnsi"/>
              </w:rPr>
              <w:t>5 %</w:t>
            </w:r>
          </w:p>
        </w:tc>
        <w:tc>
          <w:tcPr>
            <w:tcW w:w="1559" w:type="dxa"/>
            <w:tcBorders>
              <w:left w:val="single" w:sz="12" w:space="0" w:color="auto"/>
              <w:right w:val="single" w:sz="12" w:space="0" w:color="auto"/>
            </w:tcBorders>
            <w:vAlign w:val="center"/>
          </w:tcPr>
          <w:p w14:paraId="28C742E1" w14:textId="77777777" w:rsidR="001B4719" w:rsidRPr="004F707E" w:rsidRDefault="001B4719" w:rsidP="004711BD">
            <w:pPr>
              <w:jc w:val="center"/>
              <w:rPr>
                <w:rFonts w:cstheme="minorHAnsi"/>
              </w:rPr>
            </w:pPr>
            <w:r w:rsidRPr="004F707E">
              <w:rPr>
                <w:rFonts w:cstheme="minorHAnsi"/>
              </w:rPr>
              <w:t>2 %</w:t>
            </w:r>
          </w:p>
        </w:tc>
        <w:tc>
          <w:tcPr>
            <w:tcW w:w="1417" w:type="dxa"/>
            <w:tcBorders>
              <w:left w:val="single" w:sz="12" w:space="0" w:color="auto"/>
              <w:right w:val="single" w:sz="12" w:space="0" w:color="auto"/>
            </w:tcBorders>
            <w:vAlign w:val="center"/>
          </w:tcPr>
          <w:p w14:paraId="7F5D79AA" w14:textId="77777777" w:rsidR="001B4719" w:rsidRPr="004F707E" w:rsidRDefault="001B4719" w:rsidP="004711BD">
            <w:pPr>
              <w:jc w:val="center"/>
              <w:rPr>
                <w:rFonts w:cstheme="minorHAnsi"/>
              </w:rPr>
            </w:pPr>
            <w:r w:rsidRPr="004F707E">
              <w:rPr>
                <w:rFonts w:cstheme="minorHAnsi"/>
              </w:rPr>
              <w:t>39 %</w:t>
            </w:r>
          </w:p>
        </w:tc>
        <w:tc>
          <w:tcPr>
            <w:tcW w:w="1696" w:type="dxa"/>
            <w:tcBorders>
              <w:left w:val="single" w:sz="12" w:space="0" w:color="auto"/>
              <w:right w:val="single" w:sz="12" w:space="0" w:color="auto"/>
            </w:tcBorders>
            <w:vAlign w:val="center"/>
          </w:tcPr>
          <w:p w14:paraId="40117D59" w14:textId="77777777" w:rsidR="001B4719" w:rsidRPr="004F707E" w:rsidRDefault="001B4719" w:rsidP="004711BD">
            <w:pPr>
              <w:jc w:val="center"/>
              <w:rPr>
                <w:rFonts w:cstheme="minorHAnsi"/>
              </w:rPr>
            </w:pPr>
            <w:r w:rsidRPr="004F707E">
              <w:rPr>
                <w:rFonts w:cstheme="minorHAnsi"/>
              </w:rPr>
              <w:t>28 %</w:t>
            </w:r>
          </w:p>
        </w:tc>
      </w:tr>
      <w:tr w:rsidR="001B4719" w:rsidRPr="004F707E" w14:paraId="6DAFA90D" w14:textId="77777777" w:rsidTr="000050AA">
        <w:trPr>
          <w:trHeight w:val="850"/>
        </w:trPr>
        <w:tc>
          <w:tcPr>
            <w:tcW w:w="2972" w:type="dxa"/>
            <w:tcBorders>
              <w:left w:val="single" w:sz="12" w:space="0" w:color="auto"/>
              <w:right w:val="single" w:sz="12" w:space="0" w:color="auto"/>
            </w:tcBorders>
            <w:vAlign w:val="center"/>
          </w:tcPr>
          <w:p w14:paraId="4ECC94E6"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61312" behindDoc="0" locked="0" layoutInCell="1" allowOverlap="1" wp14:anchorId="3126CA3F" wp14:editId="3829ADB3">
                  <wp:simplePos x="0" y="0"/>
                  <wp:positionH relativeFrom="column">
                    <wp:posOffset>1274445</wp:posOffset>
                  </wp:positionH>
                  <wp:positionV relativeFrom="paragraph">
                    <wp:posOffset>133350</wp:posOffset>
                  </wp:positionV>
                  <wp:extent cx="466725" cy="257175"/>
                  <wp:effectExtent l="0" t="0" r="9525" b="9525"/>
                  <wp:wrapNone/>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 xml:space="preserve">Vozidla taxi </w:t>
            </w:r>
          </w:p>
          <w:p w14:paraId="19792761" w14:textId="77777777" w:rsidR="001B4719" w:rsidRPr="004F707E" w:rsidRDefault="001B4719" w:rsidP="000050AA">
            <w:pPr>
              <w:jc w:val="both"/>
              <w:rPr>
                <w:rFonts w:cstheme="minorHAnsi"/>
              </w:rPr>
            </w:pPr>
          </w:p>
        </w:tc>
        <w:tc>
          <w:tcPr>
            <w:tcW w:w="1418" w:type="dxa"/>
            <w:tcBorders>
              <w:left w:val="single" w:sz="12" w:space="0" w:color="auto"/>
              <w:right w:val="single" w:sz="12" w:space="0" w:color="auto"/>
            </w:tcBorders>
            <w:vAlign w:val="center"/>
          </w:tcPr>
          <w:p w14:paraId="57E87653" w14:textId="77777777" w:rsidR="001B4719" w:rsidRPr="004F707E" w:rsidRDefault="001B4719" w:rsidP="004711BD">
            <w:pPr>
              <w:jc w:val="center"/>
              <w:rPr>
                <w:rFonts w:cstheme="minorHAnsi"/>
              </w:rPr>
            </w:pPr>
            <w:r w:rsidRPr="004F707E">
              <w:rPr>
                <w:rFonts w:cstheme="minorHAnsi"/>
              </w:rPr>
              <w:t>14 %</w:t>
            </w:r>
          </w:p>
        </w:tc>
        <w:tc>
          <w:tcPr>
            <w:tcW w:w="1559" w:type="dxa"/>
            <w:tcBorders>
              <w:left w:val="single" w:sz="12" w:space="0" w:color="auto"/>
              <w:right w:val="single" w:sz="12" w:space="0" w:color="auto"/>
            </w:tcBorders>
            <w:vAlign w:val="center"/>
          </w:tcPr>
          <w:p w14:paraId="0C102FF0" w14:textId="77777777" w:rsidR="001B4719" w:rsidRPr="004F707E" w:rsidRDefault="001B4719" w:rsidP="004711BD">
            <w:pPr>
              <w:jc w:val="center"/>
              <w:rPr>
                <w:rFonts w:cstheme="minorHAnsi"/>
              </w:rPr>
            </w:pPr>
            <w:r w:rsidRPr="004F707E">
              <w:rPr>
                <w:rFonts w:cstheme="minorHAnsi"/>
              </w:rPr>
              <w:t>8 %</w:t>
            </w:r>
          </w:p>
        </w:tc>
        <w:tc>
          <w:tcPr>
            <w:tcW w:w="1417" w:type="dxa"/>
            <w:tcBorders>
              <w:left w:val="single" w:sz="12" w:space="0" w:color="auto"/>
              <w:right w:val="single" w:sz="12" w:space="0" w:color="auto"/>
            </w:tcBorders>
            <w:vAlign w:val="center"/>
          </w:tcPr>
          <w:p w14:paraId="640BBF3C" w14:textId="77777777" w:rsidR="001B4719" w:rsidRPr="004F707E" w:rsidRDefault="001B4719" w:rsidP="004711BD">
            <w:pPr>
              <w:jc w:val="center"/>
              <w:rPr>
                <w:rFonts w:cstheme="minorHAnsi"/>
              </w:rPr>
            </w:pPr>
            <w:r w:rsidRPr="004F707E">
              <w:rPr>
                <w:rFonts w:cstheme="minorHAnsi"/>
              </w:rPr>
              <w:t>61 %</w:t>
            </w:r>
          </w:p>
        </w:tc>
        <w:tc>
          <w:tcPr>
            <w:tcW w:w="1696" w:type="dxa"/>
            <w:tcBorders>
              <w:left w:val="single" w:sz="12" w:space="0" w:color="auto"/>
              <w:right w:val="single" w:sz="12" w:space="0" w:color="auto"/>
            </w:tcBorders>
            <w:vAlign w:val="center"/>
          </w:tcPr>
          <w:p w14:paraId="31B451B7" w14:textId="77777777" w:rsidR="001B4719" w:rsidRPr="004F707E" w:rsidRDefault="001B4719" w:rsidP="004711BD">
            <w:pPr>
              <w:jc w:val="center"/>
              <w:rPr>
                <w:rFonts w:cstheme="minorHAnsi"/>
              </w:rPr>
            </w:pPr>
            <w:r w:rsidRPr="004F707E">
              <w:rPr>
                <w:rFonts w:cstheme="minorHAnsi"/>
              </w:rPr>
              <w:t>57 %</w:t>
            </w:r>
          </w:p>
        </w:tc>
      </w:tr>
      <w:tr w:rsidR="001B4719" w:rsidRPr="004F707E" w14:paraId="79B2E992" w14:textId="77777777" w:rsidTr="000050AA">
        <w:trPr>
          <w:trHeight w:val="850"/>
        </w:trPr>
        <w:tc>
          <w:tcPr>
            <w:tcW w:w="2972" w:type="dxa"/>
            <w:tcBorders>
              <w:left w:val="single" w:sz="12" w:space="0" w:color="auto"/>
              <w:right w:val="single" w:sz="12" w:space="0" w:color="auto"/>
            </w:tcBorders>
            <w:vAlign w:val="center"/>
          </w:tcPr>
          <w:p w14:paraId="06F5542F"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62336" behindDoc="0" locked="0" layoutInCell="1" allowOverlap="1" wp14:anchorId="31F98B90" wp14:editId="4D6BDD7E">
                  <wp:simplePos x="0" y="0"/>
                  <wp:positionH relativeFrom="column">
                    <wp:posOffset>1303020</wp:posOffset>
                  </wp:positionH>
                  <wp:positionV relativeFrom="paragraph">
                    <wp:posOffset>164465</wp:posOffset>
                  </wp:positionV>
                  <wp:extent cx="409575" cy="219075"/>
                  <wp:effectExtent l="0" t="0" r="9525" b="9525"/>
                  <wp:wrapNone/>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Dodávky a</w:t>
            </w:r>
            <w:r w:rsidR="00546698">
              <w:rPr>
                <w:rFonts w:cstheme="minorHAnsi"/>
              </w:rPr>
              <w:t> </w:t>
            </w:r>
            <w:r w:rsidRPr="004F707E">
              <w:rPr>
                <w:rFonts w:cstheme="minorHAnsi"/>
              </w:rPr>
              <w:t xml:space="preserve">lehká </w:t>
            </w:r>
          </w:p>
          <w:p w14:paraId="0CAB3750" w14:textId="77777777" w:rsidR="001B4719" w:rsidRPr="004F707E" w:rsidRDefault="001B4719" w:rsidP="000050AA">
            <w:pPr>
              <w:jc w:val="both"/>
              <w:rPr>
                <w:rFonts w:cstheme="minorHAnsi"/>
              </w:rPr>
            </w:pPr>
            <w:r w:rsidRPr="004F707E">
              <w:rPr>
                <w:rFonts w:cstheme="minorHAnsi"/>
              </w:rPr>
              <w:t>užitková vozidla</w:t>
            </w:r>
          </w:p>
        </w:tc>
        <w:tc>
          <w:tcPr>
            <w:tcW w:w="1418" w:type="dxa"/>
            <w:tcBorders>
              <w:left w:val="single" w:sz="12" w:space="0" w:color="auto"/>
              <w:right w:val="single" w:sz="12" w:space="0" w:color="auto"/>
            </w:tcBorders>
            <w:vAlign w:val="center"/>
          </w:tcPr>
          <w:p w14:paraId="1F75C04C" w14:textId="77777777" w:rsidR="001B4719" w:rsidRPr="004F707E" w:rsidRDefault="001B4719" w:rsidP="004711BD">
            <w:pPr>
              <w:jc w:val="center"/>
              <w:rPr>
                <w:rFonts w:cstheme="minorHAnsi"/>
              </w:rPr>
            </w:pPr>
            <w:r w:rsidRPr="004F707E">
              <w:rPr>
                <w:rFonts w:cstheme="minorHAnsi"/>
              </w:rPr>
              <w:t>8 %</w:t>
            </w:r>
          </w:p>
        </w:tc>
        <w:tc>
          <w:tcPr>
            <w:tcW w:w="1559" w:type="dxa"/>
            <w:tcBorders>
              <w:left w:val="single" w:sz="12" w:space="0" w:color="auto"/>
              <w:right w:val="single" w:sz="12" w:space="0" w:color="auto"/>
            </w:tcBorders>
            <w:vAlign w:val="center"/>
          </w:tcPr>
          <w:p w14:paraId="035EDAFC" w14:textId="77777777" w:rsidR="001B4719" w:rsidRPr="004F707E" w:rsidRDefault="001B4719" w:rsidP="004711BD">
            <w:pPr>
              <w:jc w:val="center"/>
              <w:rPr>
                <w:rFonts w:cstheme="minorHAnsi"/>
              </w:rPr>
            </w:pPr>
            <w:r w:rsidRPr="004F707E">
              <w:rPr>
                <w:rFonts w:cstheme="minorHAnsi"/>
              </w:rPr>
              <w:t>3 %</w:t>
            </w:r>
          </w:p>
        </w:tc>
        <w:tc>
          <w:tcPr>
            <w:tcW w:w="1417" w:type="dxa"/>
            <w:tcBorders>
              <w:left w:val="single" w:sz="12" w:space="0" w:color="auto"/>
              <w:right w:val="single" w:sz="12" w:space="0" w:color="auto"/>
            </w:tcBorders>
            <w:vAlign w:val="center"/>
          </w:tcPr>
          <w:p w14:paraId="6903B1F0" w14:textId="77777777" w:rsidR="001B4719" w:rsidRPr="004F707E" w:rsidRDefault="001B4719" w:rsidP="004711BD">
            <w:pPr>
              <w:jc w:val="center"/>
              <w:rPr>
                <w:rFonts w:cstheme="minorHAnsi"/>
              </w:rPr>
            </w:pPr>
            <w:r w:rsidRPr="004F707E">
              <w:rPr>
                <w:rFonts w:cstheme="minorHAnsi"/>
              </w:rPr>
              <w:t>49 %</w:t>
            </w:r>
          </w:p>
        </w:tc>
        <w:tc>
          <w:tcPr>
            <w:tcW w:w="1696" w:type="dxa"/>
            <w:tcBorders>
              <w:left w:val="single" w:sz="12" w:space="0" w:color="auto"/>
              <w:right w:val="single" w:sz="12" w:space="0" w:color="auto"/>
            </w:tcBorders>
            <w:vAlign w:val="center"/>
          </w:tcPr>
          <w:p w14:paraId="4DCE2D76" w14:textId="77777777" w:rsidR="001B4719" w:rsidRPr="004F707E" w:rsidRDefault="001B4719" w:rsidP="004711BD">
            <w:pPr>
              <w:jc w:val="center"/>
              <w:rPr>
                <w:rFonts w:cstheme="minorHAnsi"/>
              </w:rPr>
            </w:pPr>
            <w:r w:rsidRPr="004F707E">
              <w:rPr>
                <w:rFonts w:cstheme="minorHAnsi"/>
              </w:rPr>
              <w:t>30 %</w:t>
            </w:r>
          </w:p>
        </w:tc>
      </w:tr>
      <w:tr w:rsidR="001B4719" w:rsidRPr="004F707E" w14:paraId="7297BC28" w14:textId="77777777" w:rsidTr="000050AA">
        <w:tc>
          <w:tcPr>
            <w:tcW w:w="2972" w:type="dxa"/>
            <w:tcBorders>
              <w:left w:val="single" w:sz="12" w:space="0" w:color="auto"/>
              <w:right w:val="single" w:sz="12" w:space="0" w:color="auto"/>
            </w:tcBorders>
            <w:vAlign w:val="center"/>
          </w:tcPr>
          <w:p w14:paraId="5FB780D8"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63360" behindDoc="0" locked="0" layoutInCell="1" allowOverlap="1" wp14:anchorId="3E1CFDDF" wp14:editId="79441858">
                  <wp:simplePos x="0" y="0"/>
                  <wp:positionH relativeFrom="column">
                    <wp:posOffset>1188720</wp:posOffset>
                  </wp:positionH>
                  <wp:positionV relativeFrom="paragraph">
                    <wp:posOffset>161290</wp:posOffset>
                  </wp:positionV>
                  <wp:extent cx="523875" cy="209550"/>
                  <wp:effectExtent l="0" t="0" r="9525" b="0"/>
                  <wp:wrapNone/>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 xml:space="preserve">Autobusy </w:t>
            </w:r>
          </w:p>
          <w:p w14:paraId="1DD6D396" w14:textId="77777777" w:rsidR="001B4719" w:rsidRPr="004F707E" w:rsidRDefault="001B4719" w:rsidP="000050AA">
            <w:pPr>
              <w:jc w:val="both"/>
              <w:rPr>
                <w:rFonts w:cstheme="minorHAnsi"/>
              </w:rPr>
            </w:pPr>
          </w:p>
        </w:tc>
        <w:tc>
          <w:tcPr>
            <w:tcW w:w="1418" w:type="dxa"/>
            <w:tcBorders>
              <w:left w:val="single" w:sz="12" w:space="0" w:color="auto"/>
              <w:right w:val="single" w:sz="12" w:space="0" w:color="auto"/>
            </w:tcBorders>
            <w:vAlign w:val="center"/>
          </w:tcPr>
          <w:p w14:paraId="557FD14C" w14:textId="77777777" w:rsidR="001B4719" w:rsidRPr="004F707E" w:rsidRDefault="001B4719" w:rsidP="004711BD">
            <w:pPr>
              <w:jc w:val="center"/>
              <w:rPr>
                <w:rFonts w:cstheme="minorHAnsi"/>
              </w:rPr>
            </w:pPr>
            <w:r w:rsidRPr="004F707E">
              <w:rPr>
                <w:rFonts w:cstheme="minorHAnsi"/>
              </w:rPr>
              <w:t>6 %</w:t>
            </w:r>
          </w:p>
        </w:tc>
        <w:tc>
          <w:tcPr>
            <w:tcW w:w="1559" w:type="dxa"/>
            <w:tcBorders>
              <w:left w:val="single" w:sz="12" w:space="0" w:color="auto"/>
              <w:right w:val="single" w:sz="12" w:space="0" w:color="auto"/>
            </w:tcBorders>
            <w:vAlign w:val="center"/>
          </w:tcPr>
          <w:p w14:paraId="238D261B" w14:textId="77777777" w:rsidR="001B4719" w:rsidRPr="004F707E" w:rsidRDefault="001B4719" w:rsidP="004711BD">
            <w:pPr>
              <w:jc w:val="center"/>
              <w:rPr>
                <w:rFonts w:cstheme="minorHAnsi"/>
              </w:rPr>
            </w:pPr>
            <w:r w:rsidRPr="004F707E">
              <w:rPr>
                <w:rFonts w:cstheme="minorHAnsi"/>
              </w:rPr>
              <w:t>2 %</w:t>
            </w:r>
          </w:p>
        </w:tc>
        <w:tc>
          <w:tcPr>
            <w:tcW w:w="1417" w:type="dxa"/>
            <w:tcBorders>
              <w:left w:val="single" w:sz="12" w:space="0" w:color="auto"/>
              <w:right w:val="single" w:sz="12" w:space="0" w:color="auto"/>
            </w:tcBorders>
            <w:vAlign w:val="center"/>
          </w:tcPr>
          <w:p w14:paraId="78FB96F2" w14:textId="77777777" w:rsidR="001B4719" w:rsidRPr="004F707E" w:rsidRDefault="001B4719" w:rsidP="004711BD">
            <w:pPr>
              <w:jc w:val="center"/>
              <w:rPr>
                <w:rFonts w:cstheme="minorHAnsi"/>
              </w:rPr>
            </w:pPr>
            <w:r w:rsidRPr="004F707E">
              <w:rPr>
                <w:rFonts w:cstheme="minorHAnsi"/>
              </w:rPr>
              <w:t>45 %</w:t>
            </w:r>
          </w:p>
        </w:tc>
        <w:tc>
          <w:tcPr>
            <w:tcW w:w="1696" w:type="dxa"/>
            <w:tcBorders>
              <w:left w:val="single" w:sz="12" w:space="0" w:color="auto"/>
              <w:right w:val="single" w:sz="12" w:space="0" w:color="auto"/>
            </w:tcBorders>
            <w:vAlign w:val="center"/>
          </w:tcPr>
          <w:p w14:paraId="66DACA82" w14:textId="77777777" w:rsidR="001B4719" w:rsidRPr="004F707E" w:rsidRDefault="001B4719" w:rsidP="004711BD">
            <w:pPr>
              <w:jc w:val="center"/>
              <w:rPr>
                <w:rFonts w:cstheme="minorHAnsi"/>
              </w:rPr>
            </w:pPr>
            <w:r w:rsidRPr="004F707E">
              <w:rPr>
                <w:rFonts w:cstheme="minorHAnsi"/>
              </w:rPr>
              <w:t>25 %</w:t>
            </w:r>
          </w:p>
        </w:tc>
      </w:tr>
      <w:tr w:rsidR="001B4719" w:rsidRPr="004F707E" w14:paraId="5456E562" w14:textId="77777777" w:rsidTr="000050AA">
        <w:tc>
          <w:tcPr>
            <w:tcW w:w="2972" w:type="dxa"/>
            <w:tcBorders>
              <w:left w:val="single" w:sz="12" w:space="0" w:color="auto"/>
              <w:bottom w:val="single" w:sz="12" w:space="0" w:color="auto"/>
              <w:right w:val="single" w:sz="12" w:space="0" w:color="auto"/>
            </w:tcBorders>
            <w:vAlign w:val="center"/>
          </w:tcPr>
          <w:p w14:paraId="421A500E" w14:textId="77777777" w:rsidR="001B4719" w:rsidRPr="004F707E" w:rsidRDefault="001B4719" w:rsidP="000050AA">
            <w:pPr>
              <w:jc w:val="both"/>
              <w:rPr>
                <w:rFonts w:cstheme="minorHAnsi"/>
              </w:rPr>
            </w:pPr>
            <w:r w:rsidRPr="004F707E">
              <w:rPr>
                <w:rFonts w:cstheme="minorHAnsi"/>
                <w:noProof/>
              </w:rPr>
              <w:drawing>
                <wp:anchor distT="0" distB="0" distL="114300" distR="114300" simplePos="0" relativeHeight="251664384" behindDoc="0" locked="0" layoutInCell="1" allowOverlap="1" wp14:anchorId="4466DAFC" wp14:editId="38EBC87E">
                  <wp:simplePos x="0" y="0"/>
                  <wp:positionH relativeFrom="column">
                    <wp:posOffset>1226820</wp:posOffset>
                  </wp:positionH>
                  <wp:positionV relativeFrom="paragraph">
                    <wp:posOffset>158115</wp:posOffset>
                  </wp:positionV>
                  <wp:extent cx="485775" cy="238125"/>
                  <wp:effectExtent l="0" t="0" r="9525" b="9525"/>
                  <wp:wrapNone/>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F707E">
              <w:rPr>
                <w:rFonts w:cstheme="minorHAnsi"/>
              </w:rPr>
              <w:t xml:space="preserve">Těžká nákladní </w:t>
            </w:r>
          </w:p>
          <w:p w14:paraId="067DF6F1" w14:textId="77777777" w:rsidR="001B4719" w:rsidRPr="004F707E" w:rsidRDefault="001B4719" w:rsidP="000050AA">
            <w:pPr>
              <w:jc w:val="both"/>
              <w:rPr>
                <w:rFonts w:cstheme="minorHAnsi"/>
              </w:rPr>
            </w:pPr>
            <w:r w:rsidRPr="004F707E">
              <w:rPr>
                <w:rFonts w:cstheme="minorHAnsi"/>
              </w:rPr>
              <w:t>vozidla</w:t>
            </w:r>
            <w:r>
              <w:rPr>
                <w:rFonts w:cstheme="minorHAnsi"/>
              </w:rPr>
              <w:t xml:space="preserve"> </w:t>
            </w:r>
          </w:p>
        </w:tc>
        <w:tc>
          <w:tcPr>
            <w:tcW w:w="1418" w:type="dxa"/>
            <w:tcBorders>
              <w:left w:val="single" w:sz="12" w:space="0" w:color="auto"/>
              <w:bottom w:val="single" w:sz="12" w:space="0" w:color="auto"/>
              <w:right w:val="single" w:sz="12" w:space="0" w:color="auto"/>
            </w:tcBorders>
            <w:vAlign w:val="center"/>
          </w:tcPr>
          <w:p w14:paraId="29772477" w14:textId="77777777" w:rsidR="001B4719" w:rsidRPr="004F707E" w:rsidRDefault="001B4719" w:rsidP="004711BD">
            <w:pPr>
              <w:jc w:val="center"/>
              <w:rPr>
                <w:rFonts w:cstheme="minorHAnsi"/>
              </w:rPr>
            </w:pPr>
            <w:r w:rsidRPr="004F707E">
              <w:rPr>
                <w:rFonts w:cstheme="minorHAnsi"/>
              </w:rPr>
              <w:t>1 %</w:t>
            </w:r>
          </w:p>
        </w:tc>
        <w:tc>
          <w:tcPr>
            <w:tcW w:w="1559" w:type="dxa"/>
            <w:tcBorders>
              <w:left w:val="single" w:sz="12" w:space="0" w:color="auto"/>
              <w:bottom w:val="single" w:sz="12" w:space="0" w:color="auto"/>
              <w:right w:val="single" w:sz="12" w:space="0" w:color="auto"/>
            </w:tcBorders>
            <w:vAlign w:val="center"/>
          </w:tcPr>
          <w:p w14:paraId="5ABEA373" w14:textId="77777777" w:rsidR="001B4719" w:rsidRPr="004F707E" w:rsidRDefault="001B4719" w:rsidP="004711BD">
            <w:pPr>
              <w:jc w:val="center"/>
              <w:rPr>
                <w:rFonts w:cstheme="minorHAnsi"/>
              </w:rPr>
            </w:pPr>
            <w:r w:rsidRPr="004F707E">
              <w:rPr>
                <w:rFonts w:cstheme="minorHAnsi"/>
              </w:rPr>
              <w:t>&lt; 1 %</w:t>
            </w:r>
          </w:p>
        </w:tc>
        <w:tc>
          <w:tcPr>
            <w:tcW w:w="1417" w:type="dxa"/>
            <w:tcBorders>
              <w:left w:val="single" w:sz="12" w:space="0" w:color="auto"/>
              <w:bottom w:val="single" w:sz="12" w:space="0" w:color="auto"/>
              <w:right w:val="single" w:sz="12" w:space="0" w:color="auto"/>
            </w:tcBorders>
            <w:vAlign w:val="center"/>
          </w:tcPr>
          <w:p w14:paraId="5E9151C9" w14:textId="77777777" w:rsidR="001B4719" w:rsidRPr="004F707E" w:rsidRDefault="001B4719" w:rsidP="004711BD">
            <w:pPr>
              <w:jc w:val="center"/>
              <w:rPr>
                <w:rFonts w:cstheme="minorHAnsi"/>
              </w:rPr>
            </w:pPr>
            <w:r w:rsidRPr="004F707E">
              <w:rPr>
                <w:rFonts w:cstheme="minorHAnsi"/>
              </w:rPr>
              <w:t>35 %</w:t>
            </w:r>
          </w:p>
        </w:tc>
        <w:tc>
          <w:tcPr>
            <w:tcW w:w="1696" w:type="dxa"/>
            <w:tcBorders>
              <w:left w:val="single" w:sz="12" w:space="0" w:color="auto"/>
              <w:bottom w:val="single" w:sz="12" w:space="0" w:color="auto"/>
              <w:right w:val="single" w:sz="12" w:space="0" w:color="auto"/>
            </w:tcBorders>
            <w:vAlign w:val="center"/>
          </w:tcPr>
          <w:p w14:paraId="07FB7227" w14:textId="77777777" w:rsidR="001B4719" w:rsidRPr="004F707E" w:rsidRDefault="001B4719" w:rsidP="004711BD">
            <w:pPr>
              <w:jc w:val="center"/>
              <w:rPr>
                <w:rFonts w:cstheme="minorHAnsi"/>
              </w:rPr>
            </w:pPr>
            <w:r w:rsidRPr="004F707E">
              <w:rPr>
                <w:rFonts w:cstheme="minorHAnsi"/>
              </w:rPr>
              <w:t>21 %</w:t>
            </w:r>
          </w:p>
        </w:tc>
      </w:tr>
    </w:tbl>
    <w:p w14:paraId="24AAC8AE" w14:textId="77777777" w:rsidR="001B4719" w:rsidRPr="004F707E" w:rsidRDefault="001B4719" w:rsidP="001B4719">
      <w:pPr>
        <w:jc w:val="both"/>
      </w:pPr>
      <w:r w:rsidRPr="004F707E">
        <w:t>Uvedený dokument rovněž obsahuje odhad finanční nákladnosti spojené s</w:t>
      </w:r>
      <w:r w:rsidR="00546698">
        <w:t> </w:t>
      </w:r>
      <w:r w:rsidRPr="004F707E">
        <w:t>naplněním výše uvedené vize. Podle těchto propočtů by naplnění celkové strategie rozvoje vodíku (nikoliv jen v</w:t>
      </w:r>
      <w:r w:rsidR="00546698">
        <w:t> </w:t>
      </w:r>
      <w:r w:rsidRPr="004F707E">
        <w:t xml:space="preserve">sektoru dopravy) znamenala investici do roku 2030 ve výši 60 mld. </w:t>
      </w:r>
      <w:r>
        <w:t>euro</w:t>
      </w:r>
      <w:r w:rsidRPr="004F707E">
        <w:t>. V</w:t>
      </w:r>
      <w:r w:rsidR="00546698">
        <w:t> </w:t>
      </w:r>
      <w:r w:rsidRPr="004F707E">
        <w:t xml:space="preserve">samotné dopravě by to dle tohoto odhadu znamenalo investovat cca 8 mld. </w:t>
      </w:r>
      <w:r>
        <w:t>euro</w:t>
      </w:r>
      <w:r w:rsidRPr="004F707E">
        <w:t xml:space="preserve"> do příslušné infrastruktury vodíkových stanic a</w:t>
      </w:r>
      <w:r w:rsidR="00546698">
        <w:t> </w:t>
      </w:r>
      <w:r w:rsidRPr="004F707E">
        <w:t xml:space="preserve">zhruba 9 mld. </w:t>
      </w:r>
      <w:r>
        <w:t>euro</w:t>
      </w:r>
      <w:r w:rsidRPr="004F707E">
        <w:t xml:space="preserve"> na vývoj nových vodíkových vozidel.</w:t>
      </w:r>
    </w:p>
    <w:p w14:paraId="46E17A27" w14:textId="77777777" w:rsidR="001B4719" w:rsidRPr="004F707E" w:rsidRDefault="001B4719" w:rsidP="001B4719">
      <w:pPr>
        <w:jc w:val="both"/>
      </w:pPr>
      <w:r w:rsidRPr="004F707E">
        <w:t xml:space="preserve">Důležitost vodíkových technologií dokazuje mj. také zařazení tématu SVC18 Hydrogen based and other low-carbon energy conversion (electrolysers and fuel cells; mobile and stationary) strategickým </w:t>
      </w:r>
      <w:r w:rsidRPr="004F707E">
        <w:lastRenderedPageBreak/>
        <w:t xml:space="preserve">fórem IPCEI (projekty Strategic Forum for Important Projects of Common European Interest) mezi prioritní projekty. </w:t>
      </w:r>
    </w:p>
    <w:p w14:paraId="5317F3D2" w14:textId="77777777" w:rsidR="001B4719" w:rsidRPr="004F707E" w:rsidRDefault="001B4719" w:rsidP="001B4719">
      <w:pPr>
        <w:pStyle w:val="Nadpis3"/>
        <w:numPr>
          <w:ilvl w:val="2"/>
          <w:numId w:val="9"/>
        </w:numPr>
        <w:tabs>
          <w:tab w:val="left" w:pos="851"/>
          <w:tab w:val="num" w:pos="2411"/>
        </w:tabs>
        <w:ind w:left="284" w:firstLine="0"/>
        <w:jc w:val="both"/>
      </w:pPr>
      <w:bookmarkStart w:id="482" w:name="_Toc13732614"/>
      <w:bookmarkStart w:id="483" w:name="_Toc19792365"/>
      <w:bookmarkStart w:id="484" w:name="_Toc25084492"/>
      <w:bookmarkStart w:id="485" w:name="_Toc25136822"/>
      <w:bookmarkStart w:id="486" w:name="_Toc34295948"/>
      <w:r w:rsidRPr="004F707E">
        <w:t>Strategické plány/vize a</w:t>
      </w:r>
      <w:r w:rsidR="00546698">
        <w:t> </w:t>
      </w:r>
      <w:r w:rsidRPr="004F707E">
        <w:t>podpora vodíkové mobility v</w:t>
      </w:r>
      <w:r w:rsidR="00546698">
        <w:t> </w:t>
      </w:r>
      <w:r w:rsidRPr="004F707E">
        <w:t>jiných členských státech EU</w:t>
      </w:r>
      <w:bookmarkEnd w:id="482"/>
      <w:bookmarkEnd w:id="483"/>
      <w:bookmarkEnd w:id="484"/>
      <w:bookmarkEnd w:id="485"/>
      <w:bookmarkEnd w:id="486"/>
    </w:p>
    <w:p w14:paraId="58F1AE55" w14:textId="77777777" w:rsidR="001B4719" w:rsidRPr="004F707E" w:rsidRDefault="001B4719" w:rsidP="001B4719">
      <w:pPr>
        <w:jc w:val="both"/>
      </w:pPr>
      <w:r w:rsidRPr="004F707E">
        <w:t>I když podle směrnice 2014/94/EU nebylo pro členské státy povinností zahrnout vodík do vnitrostátního rámce politiky v</w:t>
      </w:r>
      <w:r w:rsidR="00546698">
        <w:t> </w:t>
      </w:r>
      <w:r w:rsidRPr="004F707E">
        <w:t>oblasti alternativních paliv, přesto se jich k</w:t>
      </w:r>
      <w:r w:rsidR="00546698">
        <w:t> </w:t>
      </w:r>
      <w:r w:rsidRPr="004F707E">
        <w:t>tomuto kroku odhodlalo poměrně hodně. Jde však především o</w:t>
      </w:r>
      <w:r w:rsidR="00546698">
        <w:t> </w:t>
      </w:r>
      <w:r w:rsidRPr="004F707E">
        <w:t>státy EU 1</w:t>
      </w:r>
      <w:r>
        <w:t>5</w:t>
      </w:r>
      <w:r w:rsidRPr="004F707E">
        <w:t>, zatímco z</w:t>
      </w:r>
      <w:r w:rsidR="00546698">
        <w:t> </w:t>
      </w:r>
      <w:r w:rsidRPr="004F707E">
        <w:t>nových členských států EU k</w:t>
      </w:r>
      <w:r w:rsidR="00546698">
        <w:t> </w:t>
      </w:r>
      <w:r w:rsidRPr="004F707E">
        <w:t xml:space="preserve">tomu kromě ČR přikročilo dále jen </w:t>
      </w:r>
      <w:r w:rsidRPr="004F707E">
        <w:rPr>
          <w:b/>
        </w:rPr>
        <w:t>Slovinsko</w:t>
      </w:r>
      <w:r w:rsidRPr="004F707E">
        <w:t xml:space="preserve"> (viz cíl 5</w:t>
      </w:r>
      <w:r>
        <w:t xml:space="preserve"> </w:t>
      </w:r>
      <w:r w:rsidRPr="004F707E">
        <w:t>000 FCEV do 2030) a</w:t>
      </w:r>
      <w:r w:rsidR="00546698">
        <w:t> </w:t>
      </w:r>
      <w:r w:rsidRPr="004F707E">
        <w:rPr>
          <w:b/>
        </w:rPr>
        <w:t xml:space="preserve">Lotyšsko, </w:t>
      </w:r>
      <w:r w:rsidRPr="004F707E">
        <w:t>které se přitom věnuje zejména rozvoji vodíkové městské autobusové dopravě (viz zejména projekt v</w:t>
      </w:r>
      <w:r w:rsidR="00546698">
        <w:t> </w:t>
      </w:r>
      <w:r w:rsidRPr="004F707E">
        <w:t>Rize). Na druhou stranu sousední Polsko již má jistou základní strategii vodíkové mobility přijatou (viz „Circumstances of the national plan for hydrogenization of road transport in Poland“) a</w:t>
      </w:r>
      <w:r w:rsidR="00546698">
        <w:t> </w:t>
      </w:r>
      <w:r w:rsidRPr="004F707E">
        <w:t>plánuje výstavbu vodíkových stanic minimálně v</w:t>
      </w:r>
      <w:r w:rsidR="00546698">
        <w:t> </w:t>
      </w:r>
      <w:r w:rsidRPr="004F707E">
        <w:t xml:space="preserve">9 lokalitách. </w:t>
      </w:r>
    </w:p>
    <w:p w14:paraId="4AB9D410" w14:textId="77777777" w:rsidR="001B4719" w:rsidRPr="004F707E" w:rsidRDefault="001B4719" w:rsidP="001B4719">
      <w:pPr>
        <w:jc w:val="both"/>
        <w:rPr>
          <w:noProof/>
        </w:rPr>
      </w:pPr>
      <w:r w:rsidRPr="004F707E">
        <w:t>V rámci</w:t>
      </w:r>
      <w:r w:rsidRPr="004F707E">
        <w:rPr>
          <w:noProof/>
        </w:rPr>
        <w:t xml:space="preserve"> Evropské unie je patrně nevýznamějším tahounem vodíkové mobility </w:t>
      </w:r>
      <w:r w:rsidRPr="004F707E">
        <w:rPr>
          <w:b/>
          <w:noProof/>
        </w:rPr>
        <w:t>Německo,</w:t>
      </w:r>
      <w:r>
        <w:rPr>
          <w:noProof/>
        </w:rPr>
        <w:t xml:space="preserve"> </w:t>
      </w:r>
      <w:r w:rsidRPr="004F707E">
        <w:rPr>
          <w:noProof/>
        </w:rPr>
        <w:t>ať už</w:t>
      </w:r>
      <w:r>
        <w:rPr>
          <w:noProof/>
        </w:rPr>
        <w:t xml:space="preserve"> </w:t>
      </w:r>
      <w:r w:rsidRPr="004F707E">
        <w:rPr>
          <w:noProof/>
        </w:rPr>
        <w:t>jde o</w:t>
      </w:r>
      <w:r w:rsidR="00546698">
        <w:rPr>
          <w:noProof/>
        </w:rPr>
        <w:t> </w:t>
      </w:r>
      <w:r w:rsidRPr="004F707E">
        <w:rPr>
          <w:noProof/>
        </w:rPr>
        <w:t>míru ambice v</w:t>
      </w:r>
      <w:r w:rsidR="00546698">
        <w:rPr>
          <w:noProof/>
        </w:rPr>
        <w:t> </w:t>
      </w:r>
      <w:r w:rsidRPr="004F707E">
        <w:rPr>
          <w:noProof/>
        </w:rPr>
        <w:t>této oblasti (viz ambiciózní plán na vybudování 400 vodíkových stanic do roku 2025 s</w:t>
      </w:r>
      <w:r w:rsidR="00546698">
        <w:rPr>
          <w:noProof/>
        </w:rPr>
        <w:t> </w:t>
      </w:r>
      <w:r w:rsidRPr="004F707E">
        <w:rPr>
          <w:noProof/>
        </w:rPr>
        <w:t xml:space="preserve">tím, že naprosté minimum bez ohledu na situaci na trhu vodíkové mobility je 100 stanic) či rozsah vyvíjených aktivit. </w:t>
      </w:r>
      <w:r w:rsidRPr="004F707E">
        <w:t xml:space="preserve">Podpora vodíkových technologií je zde již od roku 2016 klíčovou součástí </w:t>
      </w:r>
      <w:r w:rsidRPr="004F707E">
        <w:rPr>
          <w:u w:val="single"/>
        </w:rPr>
        <w:t>Národního inovačního programu</w:t>
      </w:r>
      <w:r w:rsidRPr="004F707E">
        <w:t xml:space="preserve"> (NIP), jehož smyslem bylo zajistit uskutečnění cílů Německa oblasti dopravy a</w:t>
      </w:r>
      <w:r w:rsidR="00546698">
        <w:t> </w:t>
      </w:r>
      <w:r w:rsidRPr="004F707E">
        <w:t>dodávek energie z</w:t>
      </w:r>
      <w:r w:rsidR="00546698">
        <w:t> </w:t>
      </w:r>
      <w:r w:rsidRPr="004F707E">
        <w:t>obnovitelných zdrojů. V</w:t>
      </w:r>
      <w:r w:rsidR="00546698">
        <w:t> </w:t>
      </w:r>
      <w:r w:rsidRPr="004F707E">
        <w:t>rámci tohoto programu bylo demonstrováno, že vodíkové technologie mohou, a</w:t>
      </w:r>
      <w:r w:rsidR="00546698">
        <w:t> </w:t>
      </w:r>
      <w:r w:rsidRPr="004F707E">
        <w:t>to jak v</w:t>
      </w:r>
      <w:r w:rsidR="00546698">
        <w:t> </w:t>
      </w:r>
      <w:r w:rsidRPr="004F707E">
        <w:t>oblasti energetiky, tak mobility, naplnit požadavky, které jsou na ně kladeny. Na tento program navázal program NIP II, který je stejně jako jeho předchůdce realizován formou PPP a</w:t>
      </w:r>
      <w:r w:rsidR="00546698">
        <w:t> </w:t>
      </w:r>
      <w:r w:rsidRPr="004F707E">
        <w:t>disponuje veřejnými zdroji ve výši 250 miliónů EUR pro období let 2017-2019 a</w:t>
      </w:r>
      <w:r w:rsidR="00546698">
        <w:t> </w:t>
      </w:r>
      <w:r w:rsidRPr="004F707E">
        <w:t>dalších cca 1,1 miliardy EUR do roku 2026. Úlohou NIP II je uvedení vodíkové technologie na reálný trh. Projekty v</w:t>
      </w:r>
      <w:r w:rsidR="00546698">
        <w:t> </w:t>
      </w:r>
      <w:r w:rsidRPr="004F707E">
        <w:t>rámci NIP I</w:t>
      </w:r>
      <w:r w:rsidR="00546698">
        <w:t> </w:t>
      </w:r>
      <w:r w:rsidRPr="004F707E">
        <w:t>i</w:t>
      </w:r>
      <w:r>
        <w:t> </w:t>
      </w:r>
      <w:r w:rsidRPr="004F707E">
        <w:t>NIP II jsou z</w:t>
      </w:r>
      <w:r w:rsidR="00546698">
        <w:t> </w:t>
      </w:r>
      <w:r w:rsidRPr="004F707E">
        <w:t xml:space="preserve">50 % spolufinancovány komerčními subjekty. </w:t>
      </w:r>
    </w:p>
    <w:p w14:paraId="560933D7" w14:textId="77777777" w:rsidR="001B4719" w:rsidRPr="004F707E" w:rsidRDefault="001B4719" w:rsidP="001B4719">
      <w:pPr>
        <w:jc w:val="both"/>
      </w:pPr>
      <w:r w:rsidRPr="004F707E">
        <w:t>Důležitým nástrojem k</w:t>
      </w:r>
      <w:r w:rsidR="00546698">
        <w:t> </w:t>
      </w:r>
      <w:r w:rsidRPr="004F707E">
        <w:t>dosažení cílů NIP I</w:t>
      </w:r>
      <w:r w:rsidR="00546698">
        <w:t> </w:t>
      </w:r>
      <w:r w:rsidRPr="004F707E">
        <w:t>a</w:t>
      </w:r>
      <w:r>
        <w:t> </w:t>
      </w:r>
      <w:r w:rsidRPr="004F707E">
        <w:t>II je národní organizace “</w:t>
      </w:r>
      <w:r w:rsidRPr="004F707E">
        <w:rPr>
          <w:u w:val="single"/>
        </w:rPr>
        <w:t>National Organization for Hydrogen and Fuel Cell Technology, Ltd.” (NOW GmbH)</w:t>
      </w:r>
      <w:r w:rsidRPr="004F707E">
        <w:t>. Odpovídá za výběr jednotlivých projektů naplňujících strategii programu. Zajišťuje rovněž další činnosti, jako je vzdělání, komunikace mezi průmyslovými odvětvími, politickou scénou, výzkumem, veřejností a</w:t>
      </w:r>
      <w:r w:rsidR="00546698">
        <w:t> </w:t>
      </w:r>
      <w:r w:rsidRPr="004F707E">
        <w:t>koordinaci v</w:t>
      </w:r>
      <w:r w:rsidR="00546698">
        <w:t> </w:t>
      </w:r>
      <w:r w:rsidRPr="004F707E">
        <w:t>rámci evropských aktivit, například transevropské dopravní sítě (TEN-T).</w:t>
      </w:r>
    </w:p>
    <w:p w14:paraId="3A16AAA1" w14:textId="77777777" w:rsidR="001B4719" w:rsidRPr="004F707E" w:rsidRDefault="001B4719" w:rsidP="001B4719">
      <w:pPr>
        <w:jc w:val="both"/>
      </w:pPr>
      <w:r w:rsidRPr="004F707E">
        <w:t xml:space="preserve">Podpoře vodíkové mobility se aktivně věnuje též </w:t>
      </w:r>
      <w:r w:rsidRPr="004F707E">
        <w:rPr>
          <w:b/>
        </w:rPr>
        <w:t>Francie</w:t>
      </w:r>
      <w:r w:rsidRPr="004F707E">
        <w:t>. Zde je rozvoj tažen organizací Mobilité Hydrogene France za účasti vlády ve spolupráci se silným konsorciem soukromých firem, jehož členové odsouhlasili strategii pro přechod od izolovaných flotil k</w:t>
      </w:r>
      <w:r w:rsidR="00546698">
        <w:t> </w:t>
      </w:r>
      <w:r w:rsidRPr="004F707E">
        <w:t>celonárodní síti vodíkové infrastruktury, která by v</w:t>
      </w:r>
      <w:r w:rsidR="00546698">
        <w:t> </w:t>
      </w:r>
      <w:r w:rsidRPr="004F707E">
        <w:t>roce 2030 měla čítat 600 HRS (z toho 50 již v</w:t>
      </w:r>
      <w:r w:rsidR="00546698">
        <w:t> </w:t>
      </w:r>
      <w:r w:rsidRPr="004F707E">
        <w:t>roce 2025). Francie se plánuje v</w:t>
      </w:r>
      <w:r w:rsidR="00546698">
        <w:t> </w:t>
      </w:r>
      <w:r w:rsidRPr="004F707E">
        <w:t>rámci rozvoje plnicí infrastruktury zaměřit na dostatečnou vytíženost jednotlivých stanic. Za tím účelem plánuje podporovat flotily užitkových vozidel, taxislužeb apod. Jen např. Paříž má u</w:t>
      </w:r>
      <w:r w:rsidR="00546698">
        <w:t> </w:t>
      </w:r>
      <w:r w:rsidRPr="004F707E">
        <w:t>vozidel taxislužby záměr zvýšit počet FCEV do roku 2020 ze současných 70 na 600. Francie též začíná rozvíjet koncept tzv. „vodíkových regionů“, v</w:t>
      </w:r>
      <w:r w:rsidR="00546698">
        <w:t> </w:t>
      </w:r>
      <w:r w:rsidRPr="004F707E">
        <w:t>rámci nichž jsou integrovány dohromady různé aspekty týkající se dopravy, energetiky a</w:t>
      </w:r>
      <w:r w:rsidR="00546698">
        <w:t> </w:t>
      </w:r>
      <w:r w:rsidRPr="004F707E">
        <w:t>průmyslu.</w:t>
      </w:r>
      <w:r>
        <w:t xml:space="preserve"> </w:t>
      </w:r>
    </w:p>
    <w:p w14:paraId="129CAF11" w14:textId="77777777" w:rsidR="001B4719" w:rsidRPr="004F707E" w:rsidRDefault="001B4719" w:rsidP="001B4719">
      <w:pPr>
        <w:jc w:val="both"/>
      </w:pPr>
      <w:r w:rsidRPr="004F707E">
        <w:t xml:space="preserve">Ambiciózní národní plán vodíkové mobility má rovněž </w:t>
      </w:r>
      <w:r w:rsidRPr="004F707E">
        <w:rPr>
          <w:b/>
        </w:rPr>
        <w:t>Itálie</w:t>
      </w:r>
      <w:r w:rsidRPr="004F707E">
        <w:t>, pro rok 2020 předpokládá existenci 20 plnicích stanic (10 pro autobusy a</w:t>
      </w:r>
      <w:r w:rsidR="00546698">
        <w:t> </w:t>
      </w:r>
      <w:r w:rsidRPr="004F707E">
        <w:t>10 pro osobní dopravu) a</w:t>
      </w:r>
      <w:r w:rsidR="00546698">
        <w:t> </w:t>
      </w:r>
      <w:r w:rsidRPr="004F707E">
        <w:t>1000 FCEV a</w:t>
      </w:r>
      <w:r w:rsidR="00546698">
        <w:t> </w:t>
      </w:r>
      <w:r w:rsidRPr="004F707E">
        <w:t>100 autobusů, v</w:t>
      </w:r>
      <w:r w:rsidR="00546698">
        <w:t> </w:t>
      </w:r>
      <w:r w:rsidRPr="004F707E">
        <w:t>roce 2025 pak 141 plnicích stanic pro osobní dopravu, 56 pro autobusy, asi 27 tisíc FCEV a</w:t>
      </w:r>
      <w:r w:rsidR="00546698">
        <w:t> </w:t>
      </w:r>
      <w:r w:rsidRPr="004F707E">
        <w:t xml:space="preserve">1000 autobusů. </w:t>
      </w:r>
    </w:p>
    <w:p w14:paraId="1FF4EB15" w14:textId="77777777" w:rsidR="001B4719" w:rsidRPr="004F707E" w:rsidRDefault="001B4719" w:rsidP="001B4719">
      <w:pPr>
        <w:jc w:val="both"/>
      </w:pPr>
      <w:r w:rsidRPr="004F707E">
        <w:t xml:space="preserve">Velký význam přikládají vodíkové mobilitě též </w:t>
      </w:r>
      <w:r w:rsidRPr="004F707E">
        <w:rPr>
          <w:b/>
        </w:rPr>
        <w:t>Belgie a</w:t>
      </w:r>
      <w:r w:rsidR="00546698">
        <w:rPr>
          <w:b/>
        </w:rPr>
        <w:t> </w:t>
      </w:r>
      <w:r w:rsidRPr="004F707E">
        <w:rPr>
          <w:b/>
        </w:rPr>
        <w:t>Nizozem</w:t>
      </w:r>
      <w:r>
        <w:rPr>
          <w:b/>
        </w:rPr>
        <w:t>sko</w:t>
      </w:r>
      <w:r w:rsidRPr="004F707E">
        <w:t>. Z</w:t>
      </w:r>
      <w:r w:rsidR="00546698">
        <w:t> </w:t>
      </w:r>
      <w:r w:rsidRPr="004F707E">
        <w:t>hlediska stávající infrastruktury, disponuje nyní Belgie 4 plnicími stanicemi, Nizozem</w:t>
      </w:r>
      <w:r>
        <w:t>sko</w:t>
      </w:r>
      <w:r w:rsidRPr="004F707E">
        <w:t xml:space="preserve"> 3. Do roku 2030 si země stanovily cíl zvýšit počet stanic na 150 resp. 200. Obě zmiňované země přitom spolu v</w:t>
      </w:r>
      <w:r w:rsidR="00546698">
        <w:t> </w:t>
      </w:r>
      <w:r w:rsidRPr="004F707E">
        <w:t xml:space="preserve">této oblasti úzce spolupracují, přičemž cílí jak na podporu výzkumu (např. NL cca 4 mil </w:t>
      </w:r>
      <w:r w:rsidR="00365E96">
        <w:t>EUR</w:t>
      </w:r>
      <w:r w:rsidRPr="004F707E">
        <w:t xml:space="preserve"> v</w:t>
      </w:r>
      <w:r w:rsidR="00546698">
        <w:t> </w:t>
      </w:r>
      <w:r w:rsidRPr="004F707E">
        <w:t>roce 2018) tak na podporu rozvoje vodíkových stanic a</w:t>
      </w:r>
      <w:r w:rsidR="00546698">
        <w:t> </w:t>
      </w:r>
      <w:r w:rsidRPr="004F707E">
        <w:t>nákupu vodíkových vozidel. Nizozemsko si v</w:t>
      </w:r>
      <w:r w:rsidR="00546698">
        <w:t> </w:t>
      </w:r>
      <w:r w:rsidRPr="004F707E">
        <w:t>tomto směru hodně slibuje od rozvoje trhu v</w:t>
      </w:r>
      <w:r w:rsidR="00546698">
        <w:t> </w:t>
      </w:r>
      <w:r w:rsidRPr="004F707E">
        <w:t xml:space="preserve">nákladní dopravě (např. vozidla na svoz odpadů). </w:t>
      </w:r>
    </w:p>
    <w:p w14:paraId="11EB382F" w14:textId="77777777" w:rsidR="001B4719" w:rsidRPr="004F707E" w:rsidRDefault="001B4719" w:rsidP="001B4719">
      <w:pPr>
        <w:jc w:val="both"/>
      </w:pPr>
      <w:r w:rsidRPr="004F707E">
        <w:t>Úzká spolupráce funguje i</w:t>
      </w:r>
      <w:r w:rsidR="00546698">
        <w:t> </w:t>
      </w:r>
      <w:r w:rsidRPr="004F707E">
        <w:t>v</w:t>
      </w:r>
      <w:r>
        <w:t> </w:t>
      </w:r>
      <w:r w:rsidRPr="004F707E">
        <w:t xml:space="preserve">případě </w:t>
      </w:r>
      <w:r w:rsidRPr="004F707E">
        <w:rPr>
          <w:b/>
        </w:rPr>
        <w:t xml:space="preserve">skandinávských zemí. </w:t>
      </w:r>
      <w:r w:rsidRPr="004F707E">
        <w:t>V</w:t>
      </w:r>
      <w:r w:rsidR="00546698">
        <w:t> </w:t>
      </w:r>
      <w:r w:rsidRPr="004F707E">
        <w:t xml:space="preserve">červnu 2016 zde vznikla organizace </w:t>
      </w:r>
      <w:r w:rsidRPr="00BD293D">
        <w:t>Scandinavian Hydrogen Highway Partnership</w:t>
      </w:r>
      <w:r w:rsidRPr="004F707E">
        <w:t xml:space="preserve"> (SHHP), která zahrnuje regionální klastry z</w:t>
      </w:r>
      <w:r w:rsidR="00546698">
        <w:t> </w:t>
      </w:r>
      <w:r w:rsidRPr="004F707E">
        <w:t>Norska, Švédska a</w:t>
      </w:r>
      <w:r w:rsidR="00546698">
        <w:t> </w:t>
      </w:r>
      <w:r w:rsidRPr="004F707E">
        <w:t xml:space="preserve">Dánska, přičemž koordinátory jsou jednotlivé národní platformy, tedy </w:t>
      </w:r>
      <w:r w:rsidRPr="00BD293D">
        <w:t>Norsk</w:t>
      </w:r>
      <w:r w:rsidRPr="004F707E">
        <w:t xml:space="preserve"> </w:t>
      </w:r>
      <w:r w:rsidRPr="00BD293D">
        <w:t>Hydrogenforum</w:t>
      </w:r>
      <w:r w:rsidRPr="004F707E">
        <w:t xml:space="preserve">, Hydrogen </w:t>
      </w:r>
      <w:r w:rsidRPr="00BD293D">
        <w:t>Sweden</w:t>
      </w:r>
      <w:r w:rsidRPr="004F707E">
        <w:t xml:space="preserve"> a</w:t>
      </w:r>
      <w:r w:rsidR="00546698">
        <w:t> </w:t>
      </w:r>
      <w:r w:rsidRPr="004F707E">
        <w:t>Hydrogen Link (Dánsko). V</w:t>
      </w:r>
      <w:r w:rsidR="00546698">
        <w:t> </w:t>
      </w:r>
      <w:r w:rsidRPr="004F707E">
        <w:t>současné době je v</w:t>
      </w:r>
      <w:r w:rsidR="00546698">
        <w:t> </w:t>
      </w:r>
      <w:r w:rsidRPr="004F707E">
        <w:t xml:space="preserve">rámci regionu </w:t>
      </w:r>
      <w:r w:rsidRPr="004F707E">
        <w:lastRenderedPageBreak/>
        <w:t>provozováno celkem 18 plnicích stanic (5 Norsko, 4 Švédsko, 9 Dánsko). Jen samotné Švédsko by jich ale chtělo mít v</w:t>
      </w:r>
      <w:r w:rsidR="00546698">
        <w:t> </w:t>
      </w:r>
      <w:r w:rsidRPr="004F707E">
        <w:t>roce 2020 víc jak trojnásobek (13).</w:t>
      </w:r>
      <w:r>
        <w:t xml:space="preserve"> </w:t>
      </w:r>
    </w:p>
    <w:p w14:paraId="07D7155B" w14:textId="77777777" w:rsidR="001B4719" w:rsidRPr="004F707E" w:rsidRDefault="001B4719" w:rsidP="001B4719">
      <w:pPr>
        <w:jc w:val="both"/>
      </w:pPr>
      <w:r w:rsidRPr="004F707E">
        <w:t>V souvislosti s</w:t>
      </w:r>
      <w:r w:rsidR="00546698">
        <w:t> </w:t>
      </w:r>
      <w:r w:rsidRPr="004F707E">
        <w:t xml:space="preserve">vodíkovou mobilitou by se jistě nemělo zapomínat ani na </w:t>
      </w:r>
      <w:r w:rsidRPr="004F707E">
        <w:rPr>
          <w:b/>
        </w:rPr>
        <w:t>Velkou Británii</w:t>
      </w:r>
      <w:r w:rsidRPr="004F707E">
        <w:t>, kde se již dnes provozováno 16 vodíkových plnících stanic, přičemž cílem je zvýšit jejich počet do roku 2025 na 60. Výhledově Velká Británie cílí na 1000 vodíkových stanic k</w:t>
      </w:r>
      <w:r w:rsidR="00546698">
        <w:t> </w:t>
      </w:r>
      <w:r w:rsidRPr="004F707E">
        <w:t>roku 2030. Za účelem podpořit růst v</w:t>
      </w:r>
      <w:r w:rsidR="00546698">
        <w:t> </w:t>
      </w:r>
      <w:r w:rsidRPr="004F707E">
        <w:t>této oblasti byl v</w:t>
      </w:r>
      <w:r w:rsidR="00546698">
        <w:t> </w:t>
      </w:r>
      <w:r w:rsidRPr="004F707E">
        <w:t>roce 2017 vyhlášen nový dotační program zaměřený jak na rozvoj vodíkových stanic, tak i</w:t>
      </w:r>
      <w:r w:rsidR="00546698">
        <w:t> </w:t>
      </w:r>
      <w:r w:rsidRPr="004F707E">
        <w:t>na nákup vodíkových vozidel/autobusů o</w:t>
      </w:r>
      <w:r w:rsidR="00546698">
        <w:t> </w:t>
      </w:r>
      <w:r w:rsidRPr="004F707E">
        <w:t>celkové alokaci 23 mil. liber.</w:t>
      </w:r>
      <w:r>
        <w:t xml:space="preserve"> </w:t>
      </w:r>
      <w:r w:rsidRPr="004F707E">
        <w:t xml:space="preserve"> </w:t>
      </w:r>
    </w:p>
    <w:p w14:paraId="615AF2F6" w14:textId="77777777" w:rsidR="001B4719" w:rsidRPr="004F707E" w:rsidRDefault="001B4719" w:rsidP="001B4719">
      <w:pPr>
        <w:jc w:val="both"/>
      </w:pPr>
      <w:r w:rsidRPr="004F707E">
        <w:t>Příkladem státu, kde byla vybudována určitá základní infrastruktura vodíkových stanic, aniž by se příliš dotyčný stát výrazněji zapojil do demonstračních projektů v</w:t>
      </w:r>
      <w:r w:rsidR="00546698">
        <w:t> </w:t>
      </w:r>
      <w:r w:rsidRPr="004F707E">
        <w:t xml:space="preserve">oblasti vozidel, je </w:t>
      </w:r>
      <w:r w:rsidRPr="004F707E">
        <w:rPr>
          <w:b/>
        </w:rPr>
        <w:t>Rakousko.</w:t>
      </w:r>
      <w:r>
        <w:t xml:space="preserve"> </w:t>
      </w:r>
      <w:r w:rsidRPr="004F707E">
        <w:t>Koncem roku 2016 mělo Rakousko vybudováno celkem 5 plnicích stanic splňujících požadované standardy směrnice 2014/94/EU. Rakousko tak deklaruje, že díky této síti jsou pokryty veškeré důležité sídelní části a</w:t>
      </w:r>
      <w:r w:rsidR="00546698">
        <w:t> </w:t>
      </w:r>
      <w:r w:rsidRPr="004F707E">
        <w:t xml:space="preserve">koridory TEN-T. </w:t>
      </w:r>
    </w:p>
    <w:p w14:paraId="7927BC54" w14:textId="77777777" w:rsidR="006A06F0" w:rsidRPr="006A06F0" w:rsidRDefault="001B4719" w:rsidP="006A06F0">
      <w:pPr>
        <w:jc w:val="both"/>
      </w:pPr>
      <w:r w:rsidRPr="004F707E">
        <w:t>Jak přitom vyplývá z</w:t>
      </w:r>
      <w:r w:rsidR="00546698">
        <w:t> </w:t>
      </w:r>
      <w:r w:rsidRPr="004F707E">
        <w:t>níže uvedené mapy, aktuální plány členských států EU (stanovené coby cíle dle požadavku směrnice 2014/94/EU) počítají s</w:t>
      </w:r>
      <w:r w:rsidR="00546698">
        <w:t> </w:t>
      </w:r>
      <w:r w:rsidRPr="004F707E">
        <w:t>tím, že do roku 2025 by v</w:t>
      </w:r>
      <w:r w:rsidR="00546698">
        <w:t> </w:t>
      </w:r>
      <w:r w:rsidRPr="004F707E">
        <w:t>zemích EU mělo vzniknout více jak 750 vodíkových plnících stanic. Tyto plány přitom mohou být ze strany členských států (stejně jako to nyní činí ČR v</w:t>
      </w:r>
      <w:r w:rsidR="00546698">
        <w:t> </w:t>
      </w:r>
      <w:r w:rsidRPr="004F707E">
        <w:t>rámci aktualizace NAP CM) v</w:t>
      </w:r>
      <w:r w:rsidR="00546698">
        <w:t> </w:t>
      </w:r>
      <w:r w:rsidRPr="004F707E">
        <w:t>budoucnosti ještě dále zpřesněny.</w:t>
      </w:r>
    </w:p>
    <w:p w14:paraId="0470D11D" w14:textId="77777777" w:rsidR="006A06F0" w:rsidRDefault="006A06F0" w:rsidP="006A06F0">
      <w:pPr>
        <w:pStyle w:val="Titulek"/>
        <w:keepNext/>
        <w:jc w:val="both"/>
      </w:pPr>
      <w:bookmarkStart w:id="487" w:name="_Toc25230429"/>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22</w:t>
      </w:r>
      <w:r w:rsidR="001614BC">
        <w:rPr>
          <w:noProof/>
        </w:rPr>
        <w:fldChar w:fldCharType="end"/>
      </w:r>
      <w:r w:rsidRPr="006A06F0">
        <w:t xml:space="preserve"> </w:t>
      </w:r>
      <w:r w:rsidRPr="004F707E">
        <w:t>Přehled a</w:t>
      </w:r>
      <w:r w:rsidR="00546698">
        <w:t> </w:t>
      </w:r>
      <w:r w:rsidRPr="004F707E">
        <w:t>plán vodíkových plnících stanic</w:t>
      </w:r>
      <w:bookmarkEnd w:id="487"/>
    </w:p>
    <w:p w14:paraId="7712FCE7" w14:textId="77777777" w:rsidR="001B4719" w:rsidRPr="004F707E" w:rsidRDefault="001B4719" w:rsidP="001B4719">
      <w:pPr>
        <w:jc w:val="both"/>
      </w:pPr>
      <w:r w:rsidRPr="004F707E">
        <w:rPr>
          <w:noProof/>
        </w:rPr>
        <w:drawing>
          <wp:inline distT="0" distB="0" distL="0" distR="0" wp14:anchorId="48776689" wp14:editId="27A56AAA">
            <wp:extent cx="4067174" cy="3454076"/>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67174" cy="3454076"/>
                    </a:xfrm>
                    <a:prstGeom prst="rect">
                      <a:avLst/>
                    </a:prstGeom>
                    <a:noFill/>
                    <a:ln>
                      <a:noFill/>
                    </a:ln>
                  </pic:spPr>
                </pic:pic>
              </a:graphicData>
            </a:graphic>
          </wp:inline>
        </w:drawing>
      </w:r>
    </w:p>
    <w:p w14:paraId="2E7D330A" w14:textId="77777777" w:rsidR="001B4719" w:rsidRPr="004F707E" w:rsidRDefault="001B4719" w:rsidP="001B4719">
      <w:pPr>
        <w:jc w:val="both"/>
        <w:rPr>
          <w:rFonts w:cstheme="minorHAnsi"/>
          <w:noProof/>
          <w:sz w:val="24"/>
        </w:rPr>
      </w:pPr>
      <w:r w:rsidRPr="004F707E">
        <w:rPr>
          <w:noProof/>
        </w:rPr>
        <w:t>Zdroj: Hydrogen Roadmap Europe</w:t>
      </w:r>
    </w:p>
    <w:p w14:paraId="141BC9B2" w14:textId="77777777" w:rsidR="001B4719" w:rsidRPr="004F707E" w:rsidRDefault="001B4719" w:rsidP="001B4719">
      <w:pPr>
        <w:pStyle w:val="Nadpis3"/>
        <w:numPr>
          <w:ilvl w:val="2"/>
          <w:numId w:val="9"/>
        </w:numPr>
        <w:tabs>
          <w:tab w:val="left" w:pos="851"/>
          <w:tab w:val="num" w:pos="2411"/>
        </w:tabs>
        <w:ind w:left="284" w:firstLine="0"/>
        <w:jc w:val="both"/>
      </w:pPr>
      <w:bookmarkStart w:id="488" w:name="_Toc13732615"/>
      <w:bookmarkStart w:id="489" w:name="_Toc19792366"/>
      <w:bookmarkStart w:id="490" w:name="_Toc25084493"/>
      <w:bookmarkStart w:id="491" w:name="_Toc25136823"/>
      <w:bookmarkStart w:id="492" w:name="_Toc34295949"/>
      <w:r w:rsidRPr="004F707E">
        <w:t>Strategická doporučení vyplývají ze studie Využití vodíkového pohonu v</w:t>
      </w:r>
      <w:r w:rsidR="00546698">
        <w:t> </w:t>
      </w:r>
      <w:r w:rsidRPr="004F707E">
        <w:t>dopravě v</w:t>
      </w:r>
      <w:r w:rsidR="00546698">
        <w:t> </w:t>
      </w:r>
      <w:r w:rsidRPr="004F707E">
        <w:t>České republice</w:t>
      </w:r>
      <w:bookmarkEnd w:id="488"/>
      <w:bookmarkEnd w:id="489"/>
      <w:bookmarkEnd w:id="490"/>
      <w:bookmarkEnd w:id="491"/>
      <w:bookmarkEnd w:id="492"/>
      <w:r w:rsidRPr="004F707E">
        <w:t xml:space="preserve"> </w:t>
      </w:r>
    </w:p>
    <w:p w14:paraId="09157AF3" w14:textId="77777777" w:rsidR="001B4719" w:rsidRPr="004F707E" w:rsidRDefault="001B4719" w:rsidP="001B4719">
      <w:pPr>
        <w:jc w:val="both"/>
        <w:rPr>
          <w:b/>
        </w:rPr>
      </w:pPr>
      <w:r w:rsidRPr="004F707E">
        <w:t>Adopce vodíkové mobility v</w:t>
      </w:r>
      <w:r w:rsidR="00546698">
        <w:t> </w:t>
      </w:r>
      <w:r w:rsidRPr="004F707E">
        <w:t xml:space="preserve">dlouhodobém časovém horizontu stojí především na </w:t>
      </w:r>
      <w:r w:rsidRPr="004F707E">
        <w:rPr>
          <w:b/>
        </w:rPr>
        <w:t>dvou pilířích</w:t>
      </w:r>
      <w:r w:rsidRPr="004F707E">
        <w:t xml:space="preserve">. </w:t>
      </w:r>
      <w:r w:rsidRPr="004F707E">
        <w:rPr>
          <w:b/>
        </w:rPr>
        <w:t>Prvním z</w:t>
      </w:r>
      <w:r w:rsidR="00546698">
        <w:rPr>
          <w:b/>
        </w:rPr>
        <w:t> </w:t>
      </w:r>
      <w:r w:rsidRPr="004F707E">
        <w:rPr>
          <w:b/>
        </w:rPr>
        <w:t>nich je existence fungující a</w:t>
      </w:r>
      <w:r w:rsidR="00546698">
        <w:rPr>
          <w:b/>
        </w:rPr>
        <w:t> </w:t>
      </w:r>
      <w:r w:rsidRPr="004F707E">
        <w:rPr>
          <w:b/>
        </w:rPr>
        <w:t>bezpečné infrastruktury plnicích stanic</w:t>
      </w:r>
      <w:r w:rsidRPr="004F707E">
        <w:t xml:space="preserve">, která umožňuje plnění nádrží vozidel vodíkem. </w:t>
      </w:r>
      <w:r w:rsidRPr="004F707E">
        <w:rPr>
          <w:b/>
        </w:rPr>
        <w:t>Druhým pilířem jsou pak samotná vozidla.</w:t>
      </w:r>
    </w:p>
    <w:p w14:paraId="181A621E" w14:textId="77777777" w:rsidR="001B4719" w:rsidRPr="004F707E" w:rsidRDefault="001B4719" w:rsidP="001B4719">
      <w:pPr>
        <w:jc w:val="both"/>
      </w:pPr>
      <w:r w:rsidRPr="004F707E">
        <w:t>Chybějící infrastruktura a</w:t>
      </w:r>
      <w:r w:rsidR="00546698">
        <w:t> </w:t>
      </w:r>
      <w:r w:rsidRPr="004F707E">
        <w:t>síť veřejných plnicích stanic je podle studie jednou z</w:t>
      </w:r>
      <w:r w:rsidR="00546698">
        <w:t> </w:t>
      </w:r>
      <w:r w:rsidRPr="004F707E">
        <w:t>hlavních překážek v</w:t>
      </w:r>
      <w:r w:rsidR="00546698">
        <w:t> </w:t>
      </w:r>
      <w:r w:rsidRPr="004F707E">
        <w:t>dalším rozvoji osobních vodíkových vozidel. Pokud stát zajistí fungující a</w:t>
      </w:r>
      <w:r w:rsidR="00546698">
        <w:t> </w:t>
      </w:r>
      <w:r w:rsidRPr="004F707E">
        <w:t>dostatečně hustou síť plnicích stanic, bude to motivovat výrobce vodíkových automobilů k</w:t>
      </w:r>
      <w:r w:rsidR="00546698">
        <w:t> </w:t>
      </w:r>
      <w:r w:rsidRPr="004F707E">
        <w:t>tomu, aby svou nabídku rozšířili, protože ucítí určitou garanci využití.</w:t>
      </w:r>
      <w:r w:rsidRPr="004F707E">
        <w:rPr>
          <w:b/>
        </w:rPr>
        <w:t xml:space="preserve"> Doporučením je, aby se stát soustředil na dostatečné pokrytí hlavních komunikačních tahů tak (v první fázi dálnice, silnice 1. třídy apod.), aby byla </w:t>
      </w:r>
      <w:r w:rsidRPr="004F707E">
        <w:rPr>
          <w:b/>
        </w:rPr>
        <w:lastRenderedPageBreak/>
        <w:t>obslužnost plnění vozidel pro potenciální vlastníky nových vozů co nejpohodlnější a</w:t>
      </w:r>
      <w:r w:rsidR="00546698">
        <w:rPr>
          <w:b/>
        </w:rPr>
        <w:t> </w:t>
      </w:r>
      <w:r w:rsidRPr="004F707E">
        <w:rPr>
          <w:b/>
        </w:rPr>
        <w:t>nejdostupnější</w:t>
      </w:r>
      <w:r w:rsidRPr="004F707E">
        <w:t>. Je nasnadě využití současných lokací čerpacích stanic. Primárním zájmem ČR by rovněž mělo být propojení sítí vodíkových stanic mezi Českou republikou, Německem a</w:t>
      </w:r>
      <w:r w:rsidR="00546698">
        <w:t> </w:t>
      </w:r>
      <w:r w:rsidRPr="004F707E">
        <w:t>Rakouskem, které se nachází v</w:t>
      </w:r>
      <w:r w:rsidR="00546698">
        <w:t> </w:t>
      </w:r>
      <w:r w:rsidRPr="004F707E">
        <w:t>oblasti progresu vodíkové mobility podstatně dál než ČR.</w:t>
      </w:r>
    </w:p>
    <w:p w14:paraId="4732E853" w14:textId="77777777" w:rsidR="001B4719" w:rsidRPr="004F707E" w:rsidRDefault="001B4719" w:rsidP="001B4719">
      <w:pPr>
        <w:jc w:val="both"/>
      </w:pPr>
      <w:r w:rsidRPr="004F707E">
        <w:t>Studie dále upozorňuje na nespornou výhodu budování infrastruktury plnicích stanic v</w:t>
      </w:r>
      <w:r w:rsidR="00546698">
        <w:t> </w:t>
      </w:r>
      <w:r w:rsidRPr="004F707E">
        <w:t xml:space="preserve">rámci </w:t>
      </w:r>
      <w:r w:rsidRPr="004F707E">
        <w:rPr>
          <w:b/>
        </w:rPr>
        <w:t>segmentu městské dopravy z</w:t>
      </w:r>
      <w:r w:rsidR="00546698">
        <w:rPr>
          <w:b/>
        </w:rPr>
        <w:t> </w:t>
      </w:r>
      <w:r w:rsidRPr="004F707E">
        <w:rPr>
          <w:b/>
        </w:rPr>
        <w:t>důvodů jejich nízkého počtu nutného k</w:t>
      </w:r>
      <w:r w:rsidR="00546698">
        <w:rPr>
          <w:b/>
        </w:rPr>
        <w:t> </w:t>
      </w:r>
      <w:r w:rsidRPr="004F707E">
        <w:rPr>
          <w:b/>
        </w:rPr>
        <w:t>obsluze vozidel v</w:t>
      </w:r>
      <w:r w:rsidR="00546698">
        <w:rPr>
          <w:b/>
        </w:rPr>
        <w:t> </w:t>
      </w:r>
      <w:r w:rsidRPr="004F707E">
        <w:rPr>
          <w:b/>
        </w:rPr>
        <w:t>depech</w:t>
      </w:r>
      <w:r w:rsidRPr="004F707E">
        <w:t>. Pilotní provoz se dá zajistit s</w:t>
      </w:r>
      <w:r w:rsidR="00546698">
        <w:t> </w:t>
      </w:r>
      <w:r w:rsidRPr="004F707E">
        <w:t>jednou plnicí stanicí v</w:t>
      </w:r>
      <w:r w:rsidR="00546698">
        <w:t> </w:t>
      </w:r>
      <w:r w:rsidRPr="004F707E">
        <w:t>místě vozovny a</w:t>
      </w:r>
      <w:r w:rsidR="00546698">
        <w:t> </w:t>
      </w:r>
      <w:r w:rsidRPr="004F707E">
        <w:t>počtem autobusů, které zajistí například 1 konkrétní autobusovou linku místo stávajících konvenčních pohonů. Z</w:t>
      </w:r>
      <w:r w:rsidR="00546698">
        <w:t> </w:t>
      </w:r>
      <w:r w:rsidRPr="004F707E">
        <w:t>toho pohledu je logické využít některou aglomeraci, která by měla zájem o</w:t>
      </w:r>
      <w:r w:rsidR="00546698">
        <w:t> </w:t>
      </w:r>
      <w:r w:rsidRPr="004F707E">
        <w:t>rozvíjení tohoto druhu mobility a</w:t>
      </w:r>
      <w:r w:rsidR="00546698">
        <w:t> </w:t>
      </w:r>
      <w:r w:rsidRPr="004F707E">
        <w:t>případně pak po osvědčení technologie navázat v</w:t>
      </w:r>
      <w:r w:rsidR="00546698">
        <w:t> </w:t>
      </w:r>
      <w:r w:rsidRPr="004F707E">
        <w:t>dalších regionech. Z</w:t>
      </w:r>
      <w:r w:rsidR="00546698">
        <w:t> </w:t>
      </w:r>
      <w:r w:rsidRPr="004F707E">
        <w:t>hlediska proveditelnosti takovéhoto záměru se lze přitom opřít např. o</w:t>
      </w:r>
      <w:r w:rsidR="00546698">
        <w:t> </w:t>
      </w:r>
      <w:r w:rsidRPr="004F707E">
        <w:t xml:space="preserve">výsledky projektu </w:t>
      </w:r>
      <w:r w:rsidRPr="004F707E">
        <w:rPr>
          <w:b/>
        </w:rPr>
        <w:t xml:space="preserve">CHIC </w:t>
      </w:r>
      <w:r w:rsidRPr="004F707E">
        <w:t>(</w:t>
      </w:r>
      <w:r w:rsidRPr="00BD293D">
        <w:t>Clean</w:t>
      </w:r>
      <w:r w:rsidRPr="004F707E">
        <w:t xml:space="preserve"> Hydrogen in European Cities), který je ukázkou </w:t>
      </w:r>
      <w:r w:rsidRPr="004F707E">
        <w:rPr>
          <w:b/>
        </w:rPr>
        <w:t>úspěšné zahraniční realizace vodíkové mobility ve sféře veřejné dopravy</w:t>
      </w:r>
      <w:r w:rsidRPr="004F707E">
        <w:t>. V</w:t>
      </w:r>
      <w:r w:rsidR="00546698">
        <w:t> </w:t>
      </w:r>
      <w:r w:rsidRPr="004F707E">
        <w:t>rámci tohoto projektu bylo demonstrováno, že autobusy poháněné vodíkem v</w:t>
      </w:r>
      <w:r w:rsidR="00546698">
        <w:t> </w:t>
      </w:r>
      <w:r w:rsidRPr="004F707E">
        <w:t>městské hromadné dopravě představují funkční řešení pro dekarbonizaci a</w:t>
      </w:r>
      <w:r w:rsidR="00546698">
        <w:t> </w:t>
      </w:r>
      <w:r w:rsidRPr="004F707E">
        <w:t>snížení hluku ve velkých městech</w:t>
      </w:r>
      <w:r>
        <w:t>.</w:t>
      </w:r>
    </w:p>
    <w:p w14:paraId="07078050" w14:textId="77777777" w:rsidR="001B4719" w:rsidRPr="004F707E" w:rsidRDefault="001B4719" w:rsidP="001B4719">
      <w:pPr>
        <w:jc w:val="both"/>
      </w:pPr>
      <w:r w:rsidRPr="004F707E">
        <w:t>Pokud jde o</w:t>
      </w:r>
      <w:r w:rsidR="00546698">
        <w:t> </w:t>
      </w:r>
      <w:r w:rsidRPr="004F707E">
        <w:rPr>
          <w:b/>
        </w:rPr>
        <w:t>oblast nákupu vozidel</w:t>
      </w:r>
      <w:r w:rsidRPr="004F707E">
        <w:t xml:space="preserve">, studie na základě analýzy přístupu ostatních států EU věnujících se implementaci vodíkové mobility konstatuje, že pouze </w:t>
      </w:r>
      <w:r w:rsidRPr="004F707E">
        <w:rPr>
          <w:b/>
        </w:rPr>
        <w:t>trvalé a</w:t>
      </w:r>
      <w:r w:rsidR="00546698">
        <w:rPr>
          <w:b/>
        </w:rPr>
        <w:t> </w:t>
      </w:r>
      <w:r w:rsidRPr="004F707E">
        <w:rPr>
          <w:b/>
        </w:rPr>
        <w:t>jasně definované ukotvení podpory nákupu vozidel motivuje jak soukromý, tak veřejný sektor k</w:t>
      </w:r>
      <w:r w:rsidR="00546698">
        <w:rPr>
          <w:b/>
        </w:rPr>
        <w:t> </w:t>
      </w:r>
      <w:r w:rsidRPr="004F707E">
        <w:rPr>
          <w:b/>
        </w:rPr>
        <w:t>jejich koupi</w:t>
      </w:r>
      <w:r w:rsidRPr="004F707E">
        <w:t>. Studie zároveň dochází k</w:t>
      </w:r>
      <w:r w:rsidR="00546698">
        <w:t> </w:t>
      </w:r>
      <w:r w:rsidRPr="004F707E">
        <w:t xml:space="preserve">závěru, že </w:t>
      </w:r>
      <w:r w:rsidRPr="004F707E">
        <w:rPr>
          <w:b/>
        </w:rPr>
        <w:t>mnohem efektivnější z</w:t>
      </w:r>
      <w:r w:rsidR="00546698">
        <w:rPr>
          <w:b/>
        </w:rPr>
        <w:t> </w:t>
      </w:r>
      <w:r w:rsidRPr="004F707E">
        <w:rPr>
          <w:b/>
        </w:rPr>
        <w:t>hlediska environmentálních přínosů je zaměřit se na podporu vodíkových autobusů</w:t>
      </w:r>
      <w:r w:rsidRPr="004F707E">
        <w:t>. Podle výsledků základního scénáře by měly náklady na podporu autobusů na vodíkový pohon dosáhnout jen cca 8 % celkových nákladů potře</w:t>
      </w:r>
      <w:r>
        <w:t>b</w:t>
      </w:r>
      <w:r w:rsidRPr="004F707E">
        <w:t>ných na investiční podporu do vodíkových vozidel, zatímco jejich podíl na celkové úspoře emisí CO</w:t>
      </w:r>
      <w:r w:rsidRPr="004F707E">
        <w:rPr>
          <w:vertAlign w:val="subscript"/>
        </w:rPr>
        <w:t>2</w:t>
      </w:r>
      <w:r w:rsidRPr="004F707E">
        <w:t xml:space="preserve"> vzniklé používáním vodíkových vozidel činí 32 %. Poměr ušetřených emisí a</w:t>
      </w:r>
      <w:r w:rsidR="00546698">
        <w:t> </w:t>
      </w:r>
      <w:r w:rsidRPr="004F707E">
        <w:t>vynaložených nákladů na podporu vodíkových vozidel se tak jeví jako zásadní (byť ne jediný) argument, proč by podpora nákup</w:t>
      </w:r>
      <w:r>
        <w:t>u</w:t>
      </w:r>
      <w:r w:rsidRPr="004F707E">
        <w:t xml:space="preserve"> vodíkových vozidel měla prioritně směřovat do oblasti autobusové dopravy.</w:t>
      </w:r>
      <w:r>
        <w:t xml:space="preserve"> </w:t>
      </w:r>
    </w:p>
    <w:p w14:paraId="45D22D77" w14:textId="77777777" w:rsidR="001B4719" w:rsidRPr="004F707E" w:rsidRDefault="001B4719" w:rsidP="001B4719">
      <w:pPr>
        <w:jc w:val="both"/>
      </w:pPr>
      <w:r w:rsidRPr="004F707E">
        <w:t>V případě osobních vozidel se jeví žádoucí inspirovat se zkušenostmi, které má ČR s</w:t>
      </w:r>
      <w:r w:rsidR="00546698">
        <w:t> </w:t>
      </w:r>
      <w:r w:rsidRPr="004F707E">
        <w:t>podporou firemních vozidel v</w:t>
      </w:r>
      <w:r w:rsidR="00546698">
        <w:t> </w:t>
      </w:r>
      <w:r w:rsidRPr="004F707E">
        <w:t>oblasti elektromobility a</w:t>
      </w:r>
      <w:r w:rsidR="00546698">
        <w:t> </w:t>
      </w:r>
      <w:r w:rsidRPr="004F707E">
        <w:t>začít i</w:t>
      </w:r>
      <w:r w:rsidR="00546698">
        <w:t> </w:t>
      </w:r>
      <w:r w:rsidRPr="004F707E">
        <w:t>zde s</w:t>
      </w:r>
      <w:r w:rsidR="00546698">
        <w:t> </w:t>
      </w:r>
      <w:r w:rsidRPr="004F707E">
        <w:t xml:space="preserve">podporou </w:t>
      </w:r>
      <w:r w:rsidRPr="004F707E">
        <w:rPr>
          <w:b/>
        </w:rPr>
        <w:t xml:space="preserve">firemních vodíkových </w:t>
      </w:r>
      <w:r>
        <w:rPr>
          <w:b/>
        </w:rPr>
        <w:t>flotil</w:t>
      </w:r>
      <w:r w:rsidRPr="004F707E">
        <w:t>. Jde mj. o</w:t>
      </w:r>
      <w:r w:rsidR="00546698">
        <w:t> </w:t>
      </w:r>
      <w:r w:rsidRPr="004F707E">
        <w:t>to, že ve firmách dochází k</w:t>
      </w:r>
      <w:r w:rsidR="00546698">
        <w:t> </w:t>
      </w:r>
      <w:r w:rsidRPr="004F707E">
        <w:t>hromadnému nákupu aut a</w:t>
      </w:r>
      <w:r w:rsidR="00546698">
        <w:t> </w:t>
      </w:r>
      <w:r w:rsidRPr="004F707E">
        <w:t>je zde tak větší potenciál na otestování ve větším množství než v</w:t>
      </w:r>
      <w:r w:rsidR="00546698">
        <w:t> </w:t>
      </w:r>
      <w:r w:rsidRPr="004F707E">
        <w:t>případě jednotlivců.</w:t>
      </w:r>
    </w:p>
    <w:p w14:paraId="2B27151C" w14:textId="77777777" w:rsidR="001B4719" w:rsidRPr="004F707E" w:rsidRDefault="001B4719" w:rsidP="001B4719">
      <w:pPr>
        <w:pStyle w:val="Nadpis3"/>
        <w:numPr>
          <w:ilvl w:val="2"/>
          <w:numId w:val="9"/>
        </w:numPr>
        <w:tabs>
          <w:tab w:val="left" w:pos="851"/>
          <w:tab w:val="num" w:pos="2411"/>
        </w:tabs>
        <w:ind w:left="284" w:firstLine="0"/>
        <w:jc w:val="both"/>
      </w:pPr>
      <w:bookmarkStart w:id="493" w:name="_Toc13732616"/>
      <w:bookmarkStart w:id="494" w:name="_Toc19792367"/>
      <w:bookmarkStart w:id="495" w:name="_Toc25084494"/>
      <w:bookmarkStart w:id="496" w:name="_Toc25136824"/>
      <w:bookmarkStart w:id="497" w:name="_Toc34295950"/>
      <w:r w:rsidRPr="004F707E">
        <w:t>Zhodnocení potenciálu využití vodíku z</w:t>
      </w:r>
      <w:r w:rsidR="00546698">
        <w:t> </w:t>
      </w:r>
      <w:r w:rsidRPr="004F707E">
        <w:t>hlediska snížení emisí CO</w:t>
      </w:r>
      <w:r w:rsidRPr="00FD7A23">
        <w:rPr>
          <w:vertAlign w:val="subscript"/>
        </w:rPr>
        <w:t xml:space="preserve">2 </w:t>
      </w:r>
      <w:r w:rsidRPr="004F707E">
        <w:t>v</w:t>
      </w:r>
      <w:r w:rsidR="00546698">
        <w:t> </w:t>
      </w:r>
      <w:r w:rsidRPr="004F707E">
        <w:t>dopravě v</w:t>
      </w:r>
      <w:r w:rsidR="00546698">
        <w:t> </w:t>
      </w:r>
      <w:r w:rsidRPr="004F707E">
        <w:t>ČR</w:t>
      </w:r>
      <w:bookmarkEnd w:id="493"/>
      <w:bookmarkEnd w:id="494"/>
      <w:bookmarkEnd w:id="495"/>
      <w:bookmarkEnd w:id="496"/>
      <w:bookmarkEnd w:id="497"/>
      <w:r w:rsidRPr="004F707E">
        <w:t xml:space="preserve"> </w:t>
      </w:r>
    </w:p>
    <w:p w14:paraId="156195B6" w14:textId="77777777" w:rsidR="001B4719" w:rsidRPr="004F707E" w:rsidRDefault="001B4719" w:rsidP="001B4719">
      <w:pPr>
        <w:jc w:val="both"/>
        <w:rPr>
          <w:rFonts w:cstheme="minorHAnsi"/>
        </w:rPr>
      </w:pPr>
      <w:r w:rsidRPr="004F707E">
        <w:rPr>
          <w:rFonts w:cstheme="minorHAnsi"/>
        </w:rPr>
        <w:t>V kontextu současné, resp. nové evropské legislativy týkající se emisních norem CO</w:t>
      </w:r>
      <w:r w:rsidRPr="00CF2D43">
        <w:rPr>
          <w:rFonts w:cstheme="minorHAnsi"/>
          <w:vertAlign w:val="subscript"/>
        </w:rPr>
        <w:t>2</w:t>
      </w:r>
      <w:r w:rsidRPr="004F707E">
        <w:rPr>
          <w:rFonts w:cstheme="minorHAnsi"/>
        </w:rPr>
        <w:t xml:space="preserve"> je třeba na vodíková vozidla nahlížet jako na bezemisní vozidla, a</w:t>
      </w:r>
      <w:r w:rsidR="00546698">
        <w:rPr>
          <w:rFonts w:cstheme="minorHAnsi"/>
        </w:rPr>
        <w:t> </w:t>
      </w:r>
      <w:r w:rsidRPr="004F707E">
        <w:rPr>
          <w:rFonts w:cstheme="minorHAnsi"/>
        </w:rPr>
        <w:t>to bez ohledu na to, co je zdrojem výroby vodíku, resp. jaká technologie se k</w:t>
      </w:r>
      <w:r w:rsidR="00546698">
        <w:rPr>
          <w:rFonts w:cstheme="minorHAnsi"/>
        </w:rPr>
        <w:t> </w:t>
      </w:r>
      <w:r w:rsidRPr="004F707E">
        <w:rPr>
          <w:rFonts w:cstheme="minorHAnsi"/>
        </w:rPr>
        <w:t>této výrobě používá. V</w:t>
      </w:r>
      <w:r w:rsidR="00546698">
        <w:rPr>
          <w:rFonts w:cstheme="minorHAnsi"/>
        </w:rPr>
        <w:t> </w:t>
      </w:r>
      <w:r w:rsidRPr="004F707E">
        <w:rPr>
          <w:rFonts w:cstheme="minorHAnsi"/>
        </w:rPr>
        <w:t>tomto ohledu platí analogie s</w:t>
      </w:r>
      <w:r w:rsidR="00546698">
        <w:rPr>
          <w:rFonts w:cstheme="minorHAnsi"/>
        </w:rPr>
        <w:t> </w:t>
      </w:r>
      <w:r w:rsidRPr="004F707E">
        <w:rPr>
          <w:rFonts w:cstheme="minorHAnsi"/>
        </w:rPr>
        <w:t>bateriovou elektromobilitou, kde rovněž není zohledňována struktura energetického mixu v</w:t>
      </w:r>
      <w:r w:rsidR="00546698">
        <w:rPr>
          <w:rFonts w:cstheme="minorHAnsi"/>
        </w:rPr>
        <w:t> </w:t>
      </w:r>
      <w:r w:rsidRPr="004F707E">
        <w:rPr>
          <w:rFonts w:cstheme="minorHAnsi"/>
        </w:rPr>
        <w:t>jednotlivých státech EU případně průměrná struktura energetického mixu v</w:t>
      </w:r>
      <w:r w:rsidR="00546698">
        <w:rPr>
          <w:rFonts w:cstheme="minorHAnsi"/>
        </w:rPr>
        <w:t> </w:t>
      </w:r>
      <w:r w:rsidRPr="004F707E">
        <w:rPr>
          <w:rFonts w:cstheme="minorHAnsi"/>
        </w:rPr>
        <w:t>rámci celé EU.</w:t>
      </w:r>
    </w:p>
    <w:p w14:paraId="5BB925FB" w14:textId="77777777" w:rsidR="001B4719" w:rsidRPr="004F707E" w:rsidRDefault="001B4719" w:rsidP="001B4719">
      <w:pPr>
        <w:jc w:val="both"/>
        <w:rPr>
          <w:rFonts w:cstheme="minorHAnsi"/>
        </w:rPr>
      </w:pPr>
      <w:r w:rsidRPr="004F707E">
        <w:rPr>
          <w:rFonts w:cstheme="minorHAnsi"/>
        </w:rPr>
        <w:t>V této souvislosti může významný posun přinést projekt CertifHy</w:t>
      </w:r>
      <w:r w:rsidRPr="004F707E">
        <w:rPr>
          <w:rFonts w:cstheme="minorHAnsi"/>
          <w:vertAlign w:val="superscript"/>
        </w:rPr>
        <w:footnoteReference w:id="19"/>
      </w:r>
      <w:r w:rsidRPr="004F707E">
        <w:rPr>
          <w:rFonts w:cstheme="minorHAnsi"/>
        </w:rPr>
        <w:t>, financovaný ze zdrojů FCH 2 JU, který se věnuje vývoji metodiky posuzování původu vodíku a</w:t>
      </w:r>
      <w:r w:rsidR="00546698">
        <w:rPr>
          <w:rFonts w:cstheme="minorHAnsi"/>
        </w:rPr>
        <w:t> </w:t>
      </w:r>
      <w:r w:rsidRPr="004F707E">
        <w:rPr>
          <w:rFonts w:cstheme="minorHAnsi"/>
        </w:rPr>
        <w:t xml:space="preserve">systému „Certifikátů původu“. </w:t>
      </w:r>
    </w:p>
    <w:p w14:paraId="68F2F73B" w14:textId="77777777" w:rsidR="001B4719" w:rsidRPr="004F707E" w:rsidRDefault="001B4719" w:rsidP="001B4719">
      <w:pPr>
        <w:jc w:val="both"/>
      </w:pPr>
      <w:r w:rsidRPr="004F707E">
        <w:t>FCEV však přináší podstatnou úsporu i</w:t>
      </w:r>
      <w:r w:rsidR="00546698">
        <w:t> </w:t>
      </w:r>
      <w:r w:rsidRPr="004F707E">
        <w:t>z</w:t>
      </w:r>
      <w:r>
        <w:t> </w:t>
      </w:r>
      <w:r w:rsidRPr="004F707E">
        <w:t>hlediska znečišťujících látek. Nulové emise z</w:t>
      </w:r>
      <w:r w:rsidR="00546698">
        <w:t> </w:t>
      </w:r>
      <w:r w:rsidRPr="004F707E">
        <w:t>provozu vykazuje tato technologie též v</w:t>
      </w:r>
      <w:r w:rsidR="00546698">
        <w:t> </w:t>
      </w:r>
      <w:r w:rsidRPr="004F707E">
        <w:t>případě NO</w:t>
      </w:r>
      <w:r w:rsidRPr="004F707E">
        <w:rPr>
          <w:vertAlign w:val="subscript"/>
        </w:rPr>
        <w:t>x</w:t>
      </w:r>
      <w:r w:rsidRPr="004F707E">
        <w:t>, SO</w:t>
      </w:r>
      <w:r w:rsidRPr="00CF2D43">
        <w:rPr>
          <w:vertAlign w:val="subscript"/>
        </w:rPr>
        <w:t>2</w:t>
      </w:r>
      <w:r w:rsidRPr="004F707E">
        <w:t>, CO, celkových uhlovodíků (THC). V</w:t>
      </w:r>
      <w:r w:rsidR="00546698">
        <w:t> </w:t>
      </w:r>
      <w:r w:rsidRPr="004F707E">
        <w:t>porovnání s</w:t>
      </w:r>
      <w:r w:rsidR="00546698">
        <w:t> </w:t>
      </w:r>
      <w:r w:rsidRPr="004F707E">
        <w:t>platnou emisní normou Euro VI je při použití vodíkového pohonu ve vozidle kategorie M</w:t>
      </w:r>
      <w:r w:rsidR="00546698">
        <w:t> </w:t>
      </w:r>
      <w:r w:rsidRPr="004F707E">
        <w:t>při ujetí 100 km uspořeno až 100 gramů oxidu uhelnatého, 10 gramů celkových uhlovodíků (THC) (z</w:t>
      </w:r>
      <w:r w:rsidR="00365E96">
        <w:t> </w:t>
      </w:r>
      <w:r w:rsidRPr="004F707E">
        <w:t>toho 6,8 g</w:t>
      </w:r>
      <w:r w:rsidR="00546698">
        <w:t> </w:t>
      </w:r>
      <w:r w:rsidRPr="004F707E">
        <w:t>uhlovodíku neobsahuj</w:t>
      </w:r>
      <w:r w:rsidR="00365E96">
        <w:t>ících met</w:t>
      </w:r>
      <w:r w:rsidRPr="004F707E">
        <w:t>an), 6 gramů NO</w:t>
      </w:r>
      <w:r w:rsidRPr="004F707E">
        <w:rPr>
          <w:vertAlign w:val="subscript"/>
        </w:rPr>
        <w:t>x</w:t>
      </w:r>
      <w:r w:rsidRPr="004F707E">
        <w:t xml:space="preserve"> a</w:t>
      </w:r>
      <w:r w:rsidR="00546698">
        <w:t> </w:t>
      </w:r>
      <w:r w:rsidRPr="004F707E">
        <w:t>0,5 gramu pevných částic ve srovnání se zážehovým motorem, respektive 50 gramů oxidu uhelnatého, 8 gramů NO</w:t>
      </w:r>
      <w:r w:rsidRPr="004F707E">
        <w:rPr>
          <w:vertAlign w:val="subscript"/>
        </w:rPr>
        <w:t>x</w:t>
      </w:r>
      <w:r w:rsidRPr="004F707E">
        <w:t>, 17 g</w:t>
      </w:r>
      <w:r w:rsidR="00546698">
        <w:t> </w:t>
      </w:r>
      <w:r w:rsidRPr="004F707E">
        <w:t>sumy THC + NO</w:t>
      </w:r>
      <w:r w:rsidRPr="004F707E">
        <w:rPr>
          <w:vertAlign w:val="subscript"/>
        </w:rPr>
        <w:t>x</w:t>
      </w:r>
      <w:r w:rsidRPr="004F707E">
        <w:t xml:space="preserve"> a</w:t>
      </w:r>
      <w:r w:rsidR="00546698">
        <w:t> </w:t>
      </w:r>
      <w:r w:rsidRPr="004F707E">
        <w:t>0,5 gramu pevných částic ve srovnání se vznětovým motorem.</w:t>
      </w:r>
      <w:bookmarkStart w:id="498" w:name="h.gerrt2ans668"/>
      <w:bookmarkStart w:id="499" w:name="h.olh2s97zu486"/>
      <w:bookmarkEnd w:id="498"/>
      <w:bookmarkEnd w:id="499"/>
    </w:p>
    <w:p w14:paraId="4C038599" w14:textId="77777777" w:rsidR="001B4719" w:rsidRPr="004F707E" w:rsidRDefault="001B4719" w:rsidP="001B4719">
      <w:pPr>
        <w:jc w:val="both"/>
      </w:pPr>
      <w:r w:rsidRPr="004F707E">
        <w:t>K těmto obecným závěrům lze přidat i</w:t>
      </w:r>
      <w:r w:rsidR="00546698">
        <w:t> </w:t>
      </w:r>
      <w:r w:rsidRPr="004F707E">
        <w:t>některá konkrétní zjištění ve vztahu k</w:t>
      </w:r>
      <w:r w:rsidR="00546698">
        <w:t> </w:t>
      </w:r>
      <w:r w:rsidRPr="004F707E">
        <w:t>využívání vodíku v</w:t>
      </w:r>
      <w:r w:rsidR="00546698">
        <w:t> </w:t>
      </w:r>
      <w:r w:rsidRPr="004F707E">
        <w:t>autobusové dopravě, které jsou založena na výsledcích evropského projektu CHIC (Clean Hydrogen in European Cities). Z</w:t>
      </w:r>
      <w:r w:rsidR="00546698">
        <w:t> </w:t>
      </w:r>
      <w:r w:rsidRPr="004F707E">
        <w:t>něho vyplývá, že vodíkový pohon lze v</w:t>
      </w:r>
      <w:r w:rsidR="00546698">
        <w:t> </w:t>
      </w:r>
      <w:r w:rsidRPr="004F707E">
        <w:t>porovnání s</w:t>
      </w:r>
      <w:r w:rsidR="00546698">
        <w:t> </w:t>
      </w:r>
      <w:r w:rsidRPr="004F707E">
        <w:t xml:space="preserve">konvenčním </w:t>
      </w:r>
      <w:r w:rsidRPr="004F707E">
        <w:lastRenderedPageBreak/>
        <w:t>dieselovým pohonem hodnotit o</w:t>
      </w:r>
      <w:r w:rsidR="00546698">
        <w:t> </w:t>
      </w:r>
      <w:r w:rsidRPr="004F707E">
        <w:t>26 % úspornější (9 kg vodíku odpovídá asi 30 litrů</w:t>
      </w:r>
      <w:r>
        <w:t>m</w:t>
      </w:r>
      <w:r w:rsidRPr="004F707E">
        <w:t xml:space="preserve"> nafty, průměrná spotřeba autobusů na naftu je uváděna 40,9 litru na 100 km). Emise CO</w:t>
      </w:r>
      <w:r w:rsidRPr="004F707E">
        <w:rPr>
          <w:vertAlign w:val="subscript"/>
        </w:rPr>
        <w:t>2</w:t>
      </w:r>
      <w:r w:rsidRPr="004F707E">
        <w:t xml:space="preserve"> tak byly sníženy o</w:t>
      </w:r>
      <w:r w:rsidR="00546698">
        <w:t> </w:t>
      </w:r>
      <w:r w:rsidRPr="004F707E">
        <w:t>85 %, kdy při celkovém nájezdu 9 milionů kilometrů došlo k</w:t>
      </w:r>
      <w:r w:rsidR="00546698">
        <w:t> </w:t>
      </w:r>
      <w:r w:rsidRPr="004F707E">
        <w:t xml:space="preserve">úspoře 6 800 tun ekvivalentu oxidu uhličitého (LCA). </w:t>
      </w:r>
    </w:p>
    <w:p w14:paraId="3E291F64" w14:textId="77777777" w:rsidR="001B4719" w:rsidRPr="004F707E" w:rsidRDefault="001B4719" w:rsidP="001B4719">
      <w:pPr>
        <w:jc w:val="both"/>
      </w:pPr>
      <w:r w:rsidRPr="004F707E">
        <w:t>S těmito předpoklady pracovala výše uvedená vodíková studie, když se zabývala tím, nakolik by mohl rozvoj vodíkové mobility přispět k</w:t>
      </w:r>
      <w:r w:rsidR="00546698">
        <w:t> </w:t>
      </w:r>
      <w:r w:rsidRPr="004F707E">
        <w:t>tomu, aby se ČR alespoň co nejvíce přiblížila k</w:t>
      </w:r>
      <w:r w:rsidR="00546698">
        <w:t> </w:t>
      </w:r>
      <w:r w:rsidRPr="004F707E">
        <w:t>cíli snížit emis</w:t>
      </w:r>
      <w:r>
        <w:t>e</w:t>
      </w:r>
      <w:r w:rsidRPr="004F707E">
        <w:t xml:space="preserve"> CO</w:t>
      </w:r>
      <w:r w:rsidRPr="00CF2D43">
        <w:rPr>
          <w:vertAlign w:val="subscript"/>
        </w:rPr>
        <w:t>2</w:t>
      </w:r>
      <w:r w:rsidRPr="004F707E">
        <w:t xml:space="preserve"> v</w:t>
      </w:r>
      <w:r w:rsidR="00546698">
        <w:t> </w:t>
      </w:r>
      <w:r w:rsidRPr="004F707E">
        <w:t>dopravě v</w:t>
      </w:r>
      <w:r w:rsidR="00546698">
        <w:t> </w:t>
      </w:r>
      <w:r w:rsidRPr="004F707E">
        <w:t>rámci celé EU do roku 2030 o</w:t>
      </w:r>
      <w:r w:rsidR="00546698">
        <w:t> </w:t>
      </w:r>
      <w:r w:rsidRPr="004F707E">
        <w:t>20 %, jak je stanoven</w:t>
      </w:r>
      <w:r>
        <w:t>o</w:t>
      </w:r>
      <w:r w:rsidRPr="004F707E">
        <w:t xml:space="preserve"> v</w:t>
      </w:r>
      <w:r w:rsidR="00546698">
        <w:t> </w:t>
      </w:r>
      <w:r w:rsidRPr="004F707E">
        <w:t>Bílé knize o</w:t>
      </w:r>
      <w:r w:rsidR="00546698">
        <w:t> </w:t>
      </w:r>
      <w:r w:rsidRPr="004F707E">
        <w:t>dopravní politice EU z</w:t>
      </w:r>
      <w:r w:rsidR="00546698">
        <w:t> </w:t>
      </w:r>
      <w:r w:rsidRPr="004F707E">
        <w:t xml:space="preserve">roku 2011. </w:t>
      </w:r>
      <w:r w:rsidRPr="004F707E">
        <w:rPr>
          <w:b/>
        </w:rPr>
        <w:t>Ze studie vyplývá, že bez příspěvku vodíkové mobility a</w:t>
      </w:r>
      <w:r w:rsidR="00546698">
        <w:rPr>
          <w:b/>
        </w:rPr>
        <w:t> </w:t>
      </w:r>
      <w:r w:rsidRPr="004F707E">
        <w:rPr>
          <w:b/>
        </w:rPr>
        <w:t>za předpokladu 100% naplnění původní predikce NAP CM ve vztahu k</w:t>
      </w:r>
      <w:r w:rsidR="00546698">
        <w:rPr>
          <w:b/>
        </w:rPr>
        <w:t> </w:t>
      </w:r>
      <w:r w:rsidRPr="004F707E">
        <w:rPr>
          <w:b/>
        </w:rPr>
        <w:t>ostatním alternativním palivům (elektromobilita/CNG), bude ČR schopna dosáhnout pouze 8</w:t>
      </w:r>
      <w:r w:rsidR="00365E96">
        <w:rPr>
          <w:b/>
        </w:rPr>
        <w:t xml:space="preserve"> </w:t>
      </w:r>
      <w:r w:rsidRPr="004F707E">
        <w:rPr>
          <w:b/>
        </w:rPr>
        <w:t>-</w:t>
      </w:r>
      <w:r w:rsidR="00365E96">
        <w:rPr>
          <w:b/>
        </w:rPr>
        <w:t xml:space="preserve"> </w:t>
      </w:r>
      <w:r w:rsidRPr="004F707E">
        <w:rPr>
          <w:b/>
        </w:rPr>
        <w:t>10% snížení emisí CO</w:t>
      </w:r>
      <w:r w:rsidRPr="00FD7A23">
        <w:rPr>
          <w:b/>
          <w:vertAlign w:val="subscript"/>
        </w:rPr>
        <w:t>2</w:t>
      </w:r>
      <w:r w:rsidRPr="004F707E">
        <w:rPr>
          <w:b/>
        </w:rPr>
        <w:t xml:space="preserve"> v</w:t>
      </w:r>
      <w:r w:rsidR="00546698">
        <w:rPr>
          <w:b/>
        </w:rPr>
        <w:t> </w:t>
      </w:r>
      <w:r w:rsidRPr="004F707E">
        <w:rPr>
          <w:b/>
        </w:rPr>
        <w:t>dopravě. Pokud by se přitom, díky dobře cíleným opatřením, podařilo naplnit predikce rozvoje vodíkové mobility, mohlo by být snížení emisí CO</w:t>
      </w:r>
      <w:r w:rsidRPr="00CF2D43">
        <w:rPr>
          <w:b/>
          <w:vertAlign w:val="subscript"/>
        </w:rPr>
        <w:t>2</w:t>
      </w:r>
      <w:r w:rsidRPr="004F707E">
        <w:rPr>
          <w:b/>
        </w:rPr>
        <w:t xml:space="preserve"> v</w:t>
      </w:r>
      <w:r w:rsidR="00546698">
        <w:rPr>
          <w:b/>
        </w:rPr>
        <w:t> </w:t>
      </w:r>
      <w:r w:rsidRPr="004F707E">
        <w:rPr>
          <w:b/>
        </w:rPr>
        <w:t>dopravě o</w:t>
      </w:r>
      <w:r w:rsidR="00546698">
        <w:rPr>
          <w:b/>
        </w:rPr>
        <w:t> </w:t>
      </w:r>
      <w:r w:rsidRPr="004F707E">
        <w:rPr>
          <w:b/>
        </w:rPr>
        <w:t>4</w:t>
      </w:r>
      <w:r w:rsidR="00365E96">
        <w:rPr>
          <w:b/>
        </w:rPr>
        <w:t xml:space="preserve"> </w:t>
      </w:r>
      <w:r w:rsidRPr="004F707E">
        <w:rPr>
          <w:b/>
        </w:rPr>
        <w:t>-</w:t>
      </w:r>
      <w:r w:rsidR="00365E96">
        <w:rPr>
          <w:b/>
        </w:rPr>
        <w:t xml:space="preserve"> </w:t>
      </w:r>
      <w:r w:rsidRPr="004F707E">
        <w:rPr>
          <w:b/>
        </w:rPr>
        <w:t>5% vyšší.</w:t>
      </w:r>
    </w:p>
    <w:p w14:paraId="4AA60CE1" w14:textId="77777777" w:rsidR="001B4719" w:rsidRPr="004F707E" w:rsidRDefault="001B4719" w:rsidP="001B4719">
      <w:pPr>
        <w:jc w:val="both"/>
      </w:pPr>
      <w:r w:rsidRPr="004F707E">
        <w:t>Důležitým aspektem zavádění vodíkových technologií v</w:t>
      </w:r>
      <w:r w:rsidR="00546698">
        <w:t> </w:t>
      </w:r>
      <w:r w:rsidRPr="004F707E">
        <w:t>dopravě je také možnost tzv. sector coupling, tedy systému propojujícího dnes do značné míry nezávisle sektory energetiky (elektroenergetika a</w:t>
      </w:r>
      <w:r w:rsidR="00546698">
        <w:t> </w:t>
      </w:r>
      <w:r w:rsidRPr="004F707E">
        <w:t>plynárenství), mobility a</w:t>
      </w:r>
      <w:r w:rsidR="00546698">
        <w:t> </w:t>
      </w:r>
      <w:r w:rsidRPr="004F707E">
        <w:t>průmyslu (především chemického a</w:t>
      </w:r>
      <w:r w:rsidR="00546698">
        <w:t> </w:t>
      </w:r>
      <w:r w:rsidRPr="004F707E">
        <w:t>petrochemického). Tento systém přináší vysokou přidanou hodnotu pro všechny zapojené sektory, kdy vodík umožňuje energetické toky mezi těmito sektory a</w:t>
      </w:r>
      <w:r w:rsidR="00546698">
        <w:t> </w:t>
      </w:r>
      <w:r w:rsidRPr="004F707E">
        <w:t>akumulaci energie a</w:t>
      </w:r>
      <w:r w:rsidR="00546698">
        <w:t> </w:t>
      </w:r>
      <w:r w:rsidRPr="004F707E">
        <w:t xml:space="preserve">tím všechny tyto sektory stabilizuje. </w:t>
      </w:r>
    </w:p>
    <w:p w14:paraId="5F48ED80" w14:textId="77777777" w:rsidR="001B4719" w:rsidRPr="004F707E" w:rsidRDefault="001B4719" w:rsidP="001B4719">
      <w:pPr>
        <w:pStyle w:val="Nadpis2"/>
        <w:numPr>
          <w:ilvl w:val="1"/>
          <w:numId w:val="9"/>
        </w:numPr>
        <w:jc w:val="both"/>
      </w:pPr>
      <w:bookmarkStart w:id="500" w:name="_Toc13732617"/>
      <w:bookmarkStart w:id="501" w:name="_Toc19792368"/>
      <w:bookmarkStart w:id="502" w:name="_Ref20319035"/>
      <w:bookmarkStart w:id="503" w:name="_Ref20319051"/>
      <w:bookmarkStart w:id="504" w:name="_Toc25067661"/>
      <w:bookmarkStart w:id="505" w:name="_Toc25084495"/>
      <w:bookmarkStart w:id="506" w:name="_Toc25136825"/>
      <w:bookmarkStart w:id="507" w:name="_Toc34295951"/>
      <w:r w:rsidRPr="004F707E">
        <w:t>Očekávaný budoucí vývoj v</w:t>
      </w:r>
      <w:r w:rsidR="00546698">
        <w:t> </w:t>
      </w:r>
      <w:r w:rsidRPr="004F707E">
        <w:t>oblasti vodíkové mobility (2030)</w:t>
      </w:r>
      <w:bookmarkEnd w:id="500"/>
      <w:bookmarkEnd w:id="501"/>
      <w:bookmarkEnd w:id="502"/>
      <w:bookmarkEnd w:id="503"/>
      <w:bookmarkEnd w:id="504"/>
      <w:bookmarkEnd w:id="505"/>
      <w:bookmarkEnd w:id="506"/>
      <w:bookmarkEnd w:id="507"/>
    </w:p>
    <w:p w14:paraId="0BCC3892" w14:textId="77777777" w:rsidR="001B4719" w:rsidRPr="004F707E" w:rsidRDefault="001B4719" w:rsidP="001B4719">
      <w:pPr>
        <w:pStyle w:val="Nadpis3"/>
        <w:numPr>
          <w:ilvl w:val="2"/>
          <w:numId w:val="9"/>
        </w:numPr>
        <w:tabs>
          <w:tab w:val="left" w:pos="851"/>
          <w:tab w:val="num" w:pos="2411"/>
        </w:tabs>
        <w:ind w:left="284" w:firstLine="0"/>
        <w:jc w:val="both"/>
      </w:pPr>
      <w:bookmarkStart w:id="508" w:name="_Toc13732618"/>
      <w:bookmarkStart w:id="509" w:name="_Toc19792369"/>
      <w:bookmarkStart w:id="510" w:name="_Toc25084496"/>
      <w:bookmarkStart w:id="511" w:name="_Toc25136826"/>
      <w:bookmarkStart w:id="512" w:name="_Toc34295952"/>
      <w:r w:rsidRPr="004F707E">
        <w:t>Projekce počtu vodíkových vozidel/vodíkových stanic</w:t>
      </w:r>
      <w:bookmarkEnd w:id="508"/>
      <w:bookmarkEnd w:id="509"/>
      <w:bookmarkEnd w:id="510"/>
      <w:bookmarkEnd w:id="511"/>
      <w:bookmarkEnd w:id="512"/>
      <w:r w:rsidRPr="004F707E">
        <w:t xml:space="preserve"> </w:t>
      </w:r>
    </w:p>
    <w:p w14:paraId="34A2F030" w14:textId="77777777" w:rsidR="001B4719" w:rsidRPr="004F707E" w:rsidRDefault="001B4719" w:rsidP="001B4719">
      <w:pPr>
        <w:contextualSpacing/>
        <w:jc w:val="both"/>
        <w:rPr>
          <w:rFonts w:cstheme="minorHAnsi"/>
        </w:rPr>
      </w:pPr>
      <w:r w:rsidRPr="004F707E">
        <w:rPr>
          <w:rFonts w:cstheme="minorHAnsi"/>
        </w:rPr>
        <w:t>Z vodíkové studie popsané v</w:t>
      </w:r>
      <w:r w:rsidR="00546698">
        <w:rPr>
          <w:rFonts w:cstheme="minorHAnsi"/>
        </w:rPr>
        <w:t> </w:t>
      </w:r>
      <w:r w:rsidRPr="004F707E">
        <w:rPr>
          <w:rFonts w:cstheme="minorHAnsi"/>
        </w:rPr>
        <w:t>kapitole</w:t>
      </w:r>
      <w:r>
        <w:rPr>
          <w:rFonts w:cstheme="minorHAnsi"/>
        </w:rPr>
        <w:t xml:space="preserve"> </w:t>
      </w:r>
      <w:r>
        <w:rPr>
          <w:rFonts w:cstheme="minorHAnsi"/>
        </w:rPr>
        <w:fldChar w:fldCharType="begin"/>
      </w:r>
      <w:r>
        <w:rPr>
          <w:rFonts w:cstheme="minorHAnsi"/>
        </w:rPr>
        <w:instrText xml:space="preserve"> REF _Ref20318962 \r \h  \* MERGEFORMAT </w:instrText>
      </w:r>
      <w:r>
        <w:rPr>
          <w:rFonts w:cstheme="minorHAnsi"/>
        </w:rPr>
      </w:r>
      <w:r>
        <w:rPr>
          <w:rFonts w:cstheme="minorHAnsi"/>
        </w:rPr>
        <w:fldChar w:fldCharType="separate"/>
      </w:r>
      <w:r w:rsidR="00DF768A">
        <w:rPr>
          <w:rFonts w:cstheme="minorHAnsi"/>
        </w:rPr>
        <w:t>4.1</w:t>
      </w:r>
      <w:r>
        <w:rPr>
          <w:rFonts w:cstheme="minorHAnsi"/>
        </w:rPr>
        <w:fldChar w:fldCharType="end"/>
      </w:r>
      <w:r>
        <w:rPr>
          <w:rFonts w:cstheme="minorHAnsi"/>
        </w:rPr>
        <w:t xml:space="preserve"> </w:t>
      </w:r>
      <w:r w:rsidRPr="004F707E">
        <w:rPr>
          <w:rFonts w:cstheme="minorHAnsi"/>
        </w:rPr>
        <w:t>a</w:t>
      </w:r>
      <w:r w:rsidR="00546698">
        <w:rPr>
          <w:rFonts w:cstheme="minorHAnsi"/>
        </w:rPr>
        <w:t> </w:t>
      </w:r>
      <w:r w:rsidRPr="004F707E">
        <w:rPr>
          <w:rFonts w:cstheme="minorHAnsi"/>
        </w:rPr>
        <w:t>její aktualizace, která proběhla v</w:t>
      </w:r>
      <w:r w:rsidR="00546698">
        <w:rPr>
          <w:rFonts w:cstheme="minorHAnsi"/>
        </w:rPr>
        <w:t> </w:t>
      </w:r>
      <w:r w:rsidRPr="004F707E">
        <w:rPr>
          <w:rFonts w:cstheme="minorHAnsi"/>
        </w:rPr>
        <w:t>roce 2019, vyplývají následující predikce počtu vodíkových autobusů, osobních vodíkových vozidel a</w:t>
      </w:r>
      <w:r w:rsidR="00546698">
        <w:rPr>
          <w:rFonts w:cstheme="minorHAnsi"/>
        </w:rPr>
        <w:t> </w:t>
      </w:r>
      <w:r w:rsidRPr="004F707E">
        <w:rPr>
          <w:rFonts w:cstheme="minorHAnsi"/>
        </w:rPr>
        <w:t>rovněž počty potřebných vodíkových plnících stanic. Oproti původní vodíkové studii (</w:t>
      </w:r>
      <w:r w:rsidRPr="004F707E">
        <w:rPr>
          <w:rFonts w:cstheme="minorHAnsi"/>
          <w:i/>
        </w:rPr>
        <w:t>Využití vodíkového pohonu v</w:t>
      </w:r>
      <w:r w:rsidR="00546698">
        <w:rPr>
          <w:rFonts w:cstheme="minorHAnsi"/>
          <w:i/>
        </w:rPr>
        <w:t> </w:t>
      </w:r>
      <w:r w:rsidRPr="004F707E">
        <w:rPr>
          <w:rFonts w:cstheme="minorHAnsi"/>
          <w:i/>
        </w:rPr>
        <w:t>dopravě v</w:t>
      </w:r>
      <w:r w:rsidR="00546698">
        <w:rPr>
          <w:rFonts w:cstheme="minorHAnsi"/>
          <w:i/>
        </w:rPr>
        <w:t> </w:t>
      </w:r>
      <w:r w:rsidRPr="004F707E">
        <w:rPr>
          <w:rFonts w:cstheme="minorHAnsi"/>
          <w:i/>
        </w:rPr>
        <w:t>České republice</w:t>
      </w:r>
      <w:r w:rsidRPr="004F707E">
        <w:rPr>
          <w:rFonts w:cstheme="minorHAnsi"/>
        </w:rPr>
        <w:t xml:space="preserve"> byla zpracována v</w:t>
      </w:r>
      <w:r w:rsidR="00546698">
        <w:rPr>
          <w:rFonts w:cstheme="minorHAnsi"/>
        </w:rPr>
        <w:t> </w:t>
      </w:r>
      <w:r w:rsidRPr="004F707E">
        <w:rPr>
          <w:rFonts w:cstheme="minorHAnsi"/>
        </w:rPr>
        <w:t>roce 2017), došlo k</w:t>
      </w:r>
      <w:r w:rsidR="00546698">
        <w:rPr>
          <w:rFonts w:cstheme="minorHAnsi"/>
        </w:rPr>
        <w:t> </w:t>
      </w:r>
      <w:r w:rsidRPr="004F707E">
        <w:rPr>
          <w:rFonts w:cstheme="minorHAnsi"/>
        </w:rPr>
        <w:t>úpravě predikcí na reálnější hodnoty na základě nově vzniklých skutečností, především kvůli opoždění začátku dotačních programů a</w:t>
      </w:r>
      <w:r w:rsidR="00546698">
        <w:rPr>
          <w:rFonts w:cstheme="minorHAnsi"/>
        </w:rPr>
        <w:t> </w:t>
      </w:r>
      <w:r w:rsidRPr="004F707E">
        <w:rPr>
          <w:rFonts w:cstheme="minorHAnsi"/>
        </w:rPr>
        <w:t>pozvolnějšímu nárůstu počtu vozidel na alternativní pohon za poslední období v</w:t>
      </w:r>
      <w:r w:rsidR="00546698">
        <w:rPr>
          <w:rFonts w:cstheme="minorHAnsi"/>
        </w:rPr>
        <w:t> </w:t>
      </w:r>
      <w:r w:rsidRPr="004F707E">
        <w:rPr>
          <w:rFonts w:cstheme="minorHAnsi"/>
        </w:rPr>
        <w:t>České republice obecně.</w:t>
      </w:r>
    </w:p>
    <w:p w14:paraId="69E52F49" w14:textId="77777777" w:rsidR="006A06F0" w:rsidRDefault="006A06F0" w:rsidP="006A06F0">
      <w:pPr>
        <w:pStyle w:val="Titulek"/>
        <w:keepNext/>
        <w:jc w:val="both"/>
      </w:pPr>
      <w:bookmarkStart w:id="513" w:name="_Toc25230430"/>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23</w:t>
      </w:r>
      <w:r w:rsidR="001614BC">
        <w:rPr>
          <w:noProof/>
        </w:rPr>
        <w:fldChar w:fldCharType="end"/>
      </w:r>
      <w:r w:rsidRPr="006A06F0">
        <w:t xml:space="preserve"> </w:t>
      </w:r>
      <w:r w:rsidRPr="004F707E">
        <w:t>Počet vodíkových autobusů</w:t>
      </w:r>
      <w:bookmarkEnd w:id="513"/>
    </w:p>
    <w:p w14:paraId="1853F929" w14:textId="77777777" w:rsidR="006A06F0" w:rsidRPr="006A06F0" w:rsidRDefault="001B4719" w:rsidP="006A06F0">
      <w:pPr>
        <w:contextualSpacing/>
        <w:jc w:val="both"/>
        <w:rPr>
          <w:rFonts w:cstheme="minorHAnsi"/>
        </w:rPr>
      </w:pPr>
      <w:r w:rsidRPr="004F707E">
        <w:rPr>
          <w:noProof/>
        </w:rPr>
        <w:drawing>
          <wp:inline distT="0" distB="0" distL="0" distR="0" wp14:anchorId="0FF9CDE2" wp14:editId="7D5C0D92">
            <wp:extent cx="4429125" cy="2143125"/>
            <wp:effectExtent l="0" t="0" r="0" b="0"/>
            <wp:docPr id="83" name="Graf 83">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45462A79-FA1E-45C1-8EBB-BFF82FC84B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88A541D" w14:textId="77777777" w:rsidR="006A06F0" w:rsidRDefault="006A06F0" w:rsidP="006A06F0">
      <w:pPr>
        <w:pStyle w:val="Titulek"/>
        <w:keepNext/>
        <w:jc w:val="both"/>
      </w:pPr>
      <w:bookmarkStart w:id="514" w:name="_Toc25230431"/>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24</w:t>
      </w:r>
      <w:r w:rsidR="001614BC">
        <w:rPr>
          <w:noProof/>
        </w:rPr>
        <w:fldChar w:fldCharType="end"/>
      </w:r>
      <w:r w:rsidRPr="006A06F0">
        <w:t xml:space="preserve"> </w:t>
      </w:r>
      <w:r w:rsidRPr="004F707E">
        <w:t>Počet vodíkových automobilů</w:t>
      </w:r>
      <w:bookmarkEnd w:id="514"/>
    </w:p>
    <w:p w14:paraId="1DC9BB8C" w14:textId="77777777" w:rsidR="006A06F0" w:rsidRPr="006A06F0" w:rsidRDefault="001B4719" w:rsidP="006A06F0">
      <w:pPr>
        <w:jc w:val="both"/>
        <w:rPr>
          <w:rFonts w:cstheme="minorHAnsi"/>
          <w:b/>
        </w:rPr>
      </w:pPr>
      <w:r w:rsidRPr="004F707E">
        <w:rPr>
          <w:noProof/>
        </w:rPr>
        <w:drawing>
          <wp:inline distT="0" distB="0" distL="0" distR="0" wp14:anchorId="4F819C44" wp14:editId="3A54AADB">
            <wp:extent cx="4324350" cy="2009775"/>
            <wp:effectExtent l="0" t="0" r="0" b="0"/>
            <wp:docPr id="84" name="Graf 84">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5CC5BBBE-CEB2-48E8-8BA7-A41DD7938E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F2CA99F" w14:textId="77777777" w:rsidR="006A06F0" w:rsidRDefault="006A06F0" w:rsidP="006A06F0">
      <w:pPr>
        <w:pStyle w:val="Titulek"/>
        <w:keepNext/>
        <w:jc w:val="both"/>
      </w:pPr>
      <w:bookmarkStart w:id="515" w:name="_Toc25230432"/>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25</w:t>
      </w:r>
      <w:r w:rsidR="001614BC">
        <w:rPr>
          <w:noProof/>
        </w:rPr>
        <w:fldChar w:fldCharType="end"/>
      </w:r>
      <w:r w:rsidRPr="006A06F0">
        <w:t xml:space="preserve"> </w:t>
      </w:r>
      <w:r w:rsidRPr="004F707E">
        <w:t>Počet plnících stanic</w:t>
      </w:r>
      <w:bookmarkEnd w:id="515"/>
    </w:p>
    <w:p w14:paraId="4F7428B4" w14:textId="77777777" w:rsidR="001B4719" w:rsidRPr="004F707E" w:rsidRDefault="001B4719" w:rsidP="001B4719">
      <w:pPr>
        <w:jc w:val="both"/>
        <w:rPr>
          <w:rFonts w:cstheme="minorHAnsi"/>
        </w:rPr>
      </w:pPr>
      <w:r w:rsidRPr="004F707E">
        <w:rPr>
          <w:noProof/>
        </w:rPr>
        <w:drawing>
          <wp:inline distT="0" distB="0" distL="0" distR="0" wp14:anchorId="5D2B5857" wp14:editId="62E8F811">
            <wp:extent cx="4391025" cy="2152650"/>
            <wp:effectExtent l="0" t="0" r="0" b="0"/>
            <wp:docPr id="85" name="Graf 85">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940F667D-CABE-40FA-8F57-70C3D9B70B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64A6978" w14:textId="77777777" w:rsidR="001B4719" w:rsidRPr="004F707E" w:rsidRDefault="001B4719" w:rsidP="001B4719">
      <w:pPr>
        <w:pStyle w:val="Nadpis3"/>
        <w:numPr>
          <w:ilvl w:val="2"/>
          <w:numId w:val="9"/>
        </w:numPr>
        <w:tabs>
          <w:tab w:val="left" w:pos="851"/>
          <w:tab w:val="num" w:pos="2411"/>
        </w:tabs>
        <w:ind w:left="284" w:firstLine="0"/>
        <w:jc w:val="both"/>
      </w:pPr>
      <w:bookmarkStart w:id="516" w:name="_Toc13732619"/>
      <w:bookmarkStart w:id="517" w:name="_Toc19792370"/>
      <w:bookmarkStart w:id="518" w:name="_Toc25084497"/>
      <w:bookmarkStart w:id="519" w:name="_Toc25136827"/>
      <w:bookmarkStart w:id="520" w:name="_Toc34295953"/>
      <w:r w:rsidRPr="004F707E">
        <w:t>Očekávaný rámec financování rozvoje vodíkové mobility po roce 2020</w:t>
      </w:r>
      <w:bookmarkEnd w:id="516"/>
      <w:bookmarkEnd w:id="517"/>
      <w:bookmarkEnd w:id="518"/>
      <w:bookmarkEnd w:id="519"/>
      <w:bookmarkEnd w:id="520"/>
    </w:p>
    <w:p w14:paraId="5FBCDF88" w14:textId="77777777" w:rsidR="001B4719" w:rsidRPr="004F707E" w:rsidRDefault="001B4719" w:rsidP="001B4719">
      <w:pPr>
        <w:jc w:val="both"/>
      </w:pPr>
      <w:r w:rsidRPr="004F707E">
        <w:t>Nezbytným předpokladem rozvoje vodíkové mobility je, aby mohl v</w:t>
      </w:r>
      <w:r w:rsidR="00546698">
        <w:t> </w:t>
      </w:r>
      <w:r w:rsidRPr="004F707E">
        <w:t>odpovídající míře využívat dostupné finanční zdroje na podporu čisté mobility, a</w:t>
      </w:r>
      <w:r w:rsidR="00546698">
        <w:t> </w:t>
      </w:r>
      <w:r w:rsidRPr="004F707E">
        <w:t>to zejména prostředky z</w:t>
      </w:r>
      <w:r w:rsidR="00546698">
        <w:t> </w:t>
      </w:r>
      <w:r w:rsidRPr="004F707E">
        <w:t>EU fondů.</w:t>
      </w:r>
      <w:r>
        <w:t xml:space="preserve"> </w:t>
      </w:r>
    </w:p>
    <w:p w14:paraId="6BD8546C" w14:textId="77777777" w:rsidR="001B4719" w:rsidRPr="004F707E" w:rsidRDefault="001B4719" w:rsidP="001B4719">
      <w:pPr>
        <w:jc w:val="both"/>
      </w:pPr>
      <w:r w:rsidRPr="004F707E">
        <w:t>Oproti období 2013-2020 je především nutné efektivně využívat zdroje, které by měl</w:t>
      </w:r>
      <w:r>
        <w:t>y</w:t>
      </w:r>
      <w:r w:rsidRPr="004F707E">
        <w:t xml:space="preserve"> v</w:t>
      </w:r>
      <w:r w:rsidR="00546698">
        <w:t> </w:t>
      </w:r>
      <w:r w:rsidRPr="004F707E">
        <w:t>budoucnosti nabízet fond CEF. V</w:t>
      </w:r>
      <w:r w:rsidR="00546698">
        <w:t> </w:t>
      </w:r>
      <w:r w:rsidRPr="004F707E">
        <w:t>tomto směru je nutné přesvědčit Evropskou komisi, že ČR má dostatečně ambiciózní ale zároveň i</w:t>
      </w:r>
      <w:r w:rsidR="00546698">
        <w:t> </w:t>
      </w:r>
      <w:r w:rsidRPr="004F707E">
        <w:t>důvěryhodnou strategii vodíkové mobility, aby si zasloužila adekvátní podporu z</w:t>
      </w:r>
      <w:r w:rsidR="00546698">
        <w:t> </w:t>
      </w:r>
      <w:r w:rsidRPr="004F707E">
        <w:t>fondu CEF. To se v</w:t>
      </w:r>
      <w:r w:rsidR="00546698">
        <w:t> </w:t>
      </w:r>
      <w:r w:rsidRPr="004F707E">
        <w:t>minulosti v</w:t>
      </w:r>
      <w:r w:rsidR="00546698">
        <w:t> </w:t>
      </w:r>
      <w:r w:rsidRPr="004F707E">
        <w:t>případě jednoho infrastrukturního projektu nepodařilo a</w:t>
      </w:r>
      <w:r w:rsidR="00546698">
        <w:t> </w:t>
      </w:r>
      <w:r w:rsidRPr="004F707E">
        <w:t xml:space="preserve">daný projekt tak nebyl podpořen. </w:t>
      </w:r>
    </w:p>
    <w:p w14:paraId="652BA247" w14:textId="77777777" w:rsidR="001B4719" w:rsidRPr="004F707E" w:rsidRDefault="001B4719" w:rsidP="001B4719">
      <w:pPr>
        <w:jc w:val="both"/>
      </w:pPr>
      <w:r w:rsidRPr="004F707E">
        <w:t>Přes potenciál, který nabízí fond CEF, budou klíčovým zdrojem financování vodíkové mobility jednotlivé operační programy, které by měly adekvátně přispívat k</w:t>
      </w:r>
      <w:r w:rsidR="00546698">
        <w:t> </w:t>
      </w:r>
      <w:r w:rsidRPr="004F707E">
        <w:t>naplňování příslušných strategických cílů ČR v</w:t>
      </w:r>
      <w:r w:rsidR="00546698">
        <w:t> </w:t>
      </w:r>
      <w:r w:rsidRPr="004F707E">
        <w:t>oblasti vodíkové mobility, a</w:t>
      </w:r>
      <w:r w:rsidR="00546698">
        <w:t> </w:t>
      </w:r>
      <w:r w:rsidRPr="004F707E">
        <w:t>to zejména na výstavbu veřejných a</w:t>
      </w:r>
      <w:r w:rsidR="00546698">
        <w:t> </w:t>
      </w:r>
      <w:r w:rsidRPr="004F707E">
        <w:t>neveřejných vodíkových stanic, rozvoj autobusové, železniční a</w:t>
      </w:r>
      <w:r w:rsidR="00546698">
        <w:t> </w:t>
      </w:r>
      <w:r w:rsidRPr="004F707E">
        <w:t xml:space="preserve">nákladní dopravy (viz kapitola </w:t>
      </w:r>
      <w:r w:rsidR="008E4DD1">
        <w:fldChar w:fldCharType="begin"/>
      </w:r>
      <w:r w:rsidR="008E4DD1">
        <w:instrText xml:space="preserve"> REF _Ref25138304 \r \h </w:instrText>
      </w:r>
      <w:r w:rsidR="008E4DD1">
        <w:fldChar w:fldCharType="separate"/>
      </w:r>
      <w:r w:rsidR="008E4DD1">
        <w:t>1.4.2</w:t>
      </w:r>
      <w:r w:rsidR="008E4DD1">
        <w:fldChar w:fldCharType="end"/>
      </w:r>
      <w:r w:rsidR="008E4DD1">
        <w:t xml:space="preserve"> </w:t>
      </w:r>
      <w:r w:rsidRPr="004F707E">
        <w:t>a</w:t>
      </w:r>
      <w:r w:rsidR="00546698">
        <w:t> </w:t>
      </w:r>
      <w:r w:rsidRPr="004F707E">
        <w:t>karty opatření).</w:t>
      </w:r>
    </w:p>
    <w:p w14:paraId="55FD5F20" w14:textId="77777777" w:rsidR="001B4719" w:rsidRPr="004F707E" w:rsidRDefault="001B4719" w:rsidP="001B4719">
      <w:pPr>
        <w:pStyle w:val="Nadpis3"/>
        <w:numPr>
          <w:ilvl w:val="2"/>
          <w:numId w:val="9"/>
        </w:numPr>
        <w:tabs>
          <w:tab w:val="left" w:pos="851"/>
          <w:tab w:val="num" w:pos="2411"/>
        </w:tabs>
        <w:ind w:left="284" w:firstLine="0"/>
        <w:jc w:val="both"/>
      </w:pPr>
      <w:bookmarkStart w:id="521" w:name="_Toc13732620"/>
      <w:bookmarkStart w:id="522" w:name="_Toc19792371"/>
      <w:bookmarkStart w:id="523" w:name="_Toc25084498"/>
      <w:bookmarkStart w:id="524" w:name="_Toc25136828"/>
      <w:bookmarkStart w:id="525" w:name="_Toc34295954"/>
      <w:r w:rsidRPr="004F707E">
        <w:t>Dlouhodobé výzvy v</w:t>
      </w:r>
      <w:r w:rsidR="00546698">
        <w:t> </w:t>
      </w:r>
      <w:r w:rsidRPr="004F707E">
        <w:t>oblasti vodíkové mobility (silniční nákladní vozidla, železniční doprava)</w:t>
      </w:r>
      <w:bookmarkEnd w:id="521"/>
      <w:bookmarkEnd w:id="522"/>
      <w:bookmarkEnd w:id="523"/>
      <w:bookmarkEnd w:id="524"/>
      <w:bookmarkEnd w:id="525"/>
      <w:r>
        <w:t xml:space="preserve"> </w:t>
      </w:r>
    </w:p>
    <w:p w14:paraId="74372697" w14:textId="77777777" w:rsidR="001B4719" w:rsidRPr="004F707E" w:rsidRDefault="001B4719" w:rsidP="001B4719">
      <w:pPr>
        <w:jc w:val="both"/>
      </w:pPr>
      <w:r w:rsidRPr="004F707E">
        <w:t>Přestože se výrobci vozidel v</w:t>
      </w:r>
      <w:r w:rsidR="00546698">
        <w:t> </w:t>
      </w:r>
      <w:r w:rsidRPr="004F707E">
        <w:t>první fázi vývoje zaměřili především na oblast vodíkových autobusů a</w:t>
      </w:r>
      <w:r w:rsidR="00546698">
        <w:t> </w:t>
      </w:r>
      <w:r w:rsidRPr="004F707E">
        <w:t>vodíkových osobních automobilů, z</w:t>
      </w:r>
      <w:r w:rsidR="00546698">
        <w:t> </w:t>
      </w:r>
      <w:r w:rsidRPr="004F707E">
        <w:t>dokumentu Hydrogen Roadmap Europe vyplývá, že z</w:t>
      </w:r>
      <w:r w:rsidR="00546698">
        <w:t> </w:t>
      </w:r>
      <w:r w:rsidRPr="004F707E">
        <w:t>dlouhodobého hlediska může mít vodíková mobilita srovnatelné (ale patrně i</w:t>
      </w:r>
      <w:r w:rsidR="00546698">
        <w:t> </w:t>
      </w:r>
      <w:r w:rsidRPr="004F707E">
        <w:t>lepší) vyhlídky v</w:t>
      </w:r>
      <w:r w:rsidR="00546698">
        <w:t> </w:t>
      </w:r>
      <w:r w:rsidRPr="004F707E">
        <w:t xml:space="preserve">oblasti </w:t>
      </w:r>
      <w:r w:rsidRPr="004F707E">
        <w:rPr>
          <w:u w:val="single"/>
        </w:rPr>
        <w:t>silniční nákladní dopravy</w:t>
      </w:r>
      <w:r w:rsidRPr="004F707E">
        <w:t>, kde existuje celá řada nejistot z</w:t>
      </w:r>
      <w:r w:rsidR="00546698">
        <w:t> </w:t>
      </w:r>
      <w:r w:rsidRPr="004F707E">
        <w:t>hlediska využitelnosti bateriové elektromobility (viz argumentace v</w:t>
      </w:r>
      <w:r w:rsidR="00546698">
        <w:t> </w:t>
      </w:r>
      <w:r w:rsidRPr="004F707E">
        <w:t xml:space="preserve">části </w:t>
      </w:r>
      <w:r>
        <w:fldChar w:fldCharType="begin"/>
      </w:r>
      <w:r>
        <w:instrText xml:space="preserve"> REF _Ref20319013 \r \h  \* MERGEFORMAT </w:instrText>
      </w:r>
      <w:r>
        <w:fldChar w:fldCharType="separate"/>
      </w:r>
      <w:r w:rsidR="00DF768A">
        <w:t>4.1</w:t>
      </w:r>
      <w:r>
        <w:fldChar w:fldCharType="end"/>
      </w:r>
      <w:r w:rsidRPr="004F707E">
        <w:t>). Informace o</w:t>
      </w:r>
      <w:r w:rsidR="00546698">
        <w:t> </w:t>
      </w:r>
      <w:r w:rsidRPr="004F707E">
        <w:t>plánech automobilek v</w:t>
      </w:r>
      <w:r w:rsidR="00546698">
        <w:t> </w:t>
      </w:r>
      <w:r w:rsidRPr="004F707E">
        <w:t xml:space="preserve">této oblasti, </w:t>
      </w:r>
      <w:r w:rsidRPr="004F707E">
        <w:lastRenderedPageBreak/>
        <w:t>zmíněné v</w:t>
      </w:r>
      <w:r w:rsidR="00546698">
        <w:t> </w:t>
      </w:r>
      <w:r w:rsidRPr="004F707E">
        <w:t xml:space="preserve">části </w:t>
      </w:r>
      <w:r>
        <w:fldChar w:fldCharType="begin"/>
      </w:r>
      <w:r>
        <w:instrText xml:space="preserve"> REF _Ref20319035 \r \h  \* MERGEFORMAT </w:instrText>
      </w:r>
      <w:r>
        <w:fldChar w:fldCharType="separate"/>
      </w:r>
      <w:r w:rsidR="00DF768A">
        <w:t>4.3</w:t>
      </w:r>
      <w:r>
        <w:fldChar w:fldCharType="end"/>
      </w:r>
      <w:r>
        <w:t xml:space="preserve"> </w:t>
      </w:r>
      <w:r w:rsidRPr="004F707E">
        <w:t>jsou jasným důkazem tohoto vývojového trendu. Existuje však celá řada neznámých, často podobného rázu (např. pokud jde o</w:t>
      </w:r>
      <w:r w:rsidR="00546698">
        <w:t> </w:t>
      </w:r>
      <w:r w:rsidRPr="004F707E">
        <w:t>požadavky na kapacitu infrastruktury vodíkových plnících stanic), jaké existují v</w:t>
      </w:r>
      <w:r w:rsidR="00546698">
        <w:t> </w:t>
      </w:r>
      <w:r w:rsidRPr="004F707E">
        <w:t>oblasti bateriové elektromobility. Pro obě tyto oblasti tak platí, že bude třeba v</w:t>
      </w:r>
      <w:r w:rsidR="00546698">
        <w:t> </w:t>
      </w:r>
      <w:r w:rsidRPr="004F707E">
        <w:t>budoucnosti zpracovat samostatnou studii příležitostí a</w:t>
      </w:r>
      <w:r w:rsidR="00546698">
        <w:t> </w:t>
      </w:r>
      <w:r w:rsidRPr="004F707E">
        <w:t>hrozeb zaměřenou na čistou nákladní dopravu.</w:t>
      </w:r>
      <w:r>
        <w:t xml:space="preserve"> </w:t>
      </w:r>
    </w:p>
    <w:p w14:paraId="02D05224" w14:textId="77777777" w:rsidR="001B4719" w:rsidRPr="004F707E" w:rsidRDefault="001B4719" w:rsidP="001B4719">
      <w:pPr>
        <w:jc w:val="both"/>
      </w:pPr>
      <w:r w:rsidRPr="004F707E">
        <w:t>Jak vyplývá rovněž z</w:t>
      </w:r>
      <w:r w:rsidR="00546698">
        <w:t> </w:t>
      </w:r>
      <w:r w:rsidRPr="004F707E">
        <w:t xml:space="preserve">kapitoly </w:t>
      </w:r>
      <w:r>
        <w:fldChar w:fldCharType="begin"/>
      </w:r>
      <w:r>
        <w:instrText xml:space="preserve"> REF _Ref20319051 \r \h  \* MERGEFORMAT </w:instrText>
      </w:r>
      <w:r>
        <w:fldChar w:fldCharType="separate"/>
      </w:r>
      <w:r w:rsidR="00DF768A">
        <w:t>4.3</w:t>
      </w:r>
      <w:r>
        <w:fldChar w:fldCharType="end"/>
      </w:r>
      <w:r w:rsidRPr="004F707E">
        <w:t>,</w:t>
      </w:r>
      <w:r>
        <w:t xml:space="preserve"> </w:t>
      </w:r>
      <w:r w:rsidRPr="004F707E">
        <w:t>v</w:t>
      </w:r>
      <w:r w:rsidR="00546698">
        <w:t> </w:t>
      </w:r>
      <w:r w:rsidRPr="004F707E">
        <w:t>posledních letech byl zaznamenán významný nový trend též v</w:t>
      </w:r>
      <w:r w:rsidR="00546698">
        <w:t> </w:t>
      </w:r>
      <w:r w:rsidRPr="004F707E">
        <w:t xml:space="preserve">oblasti </w:t>
      </w:r>
      <w:r w:rsidRPr="004F707E">
        <w:rPr>
          <w:u w:val="single"/>
        </w:rPr>
        <w:t>vývoje a</w:t>
      </w:r>
      <w:r w:rsidR="00546698">
        <w:rPr>
          <w:u w:val="single"/>
        </w:rPr>
        <w:t> </w:t>
      </w:r>
      <w:r w:rsidRPr="004F707E">
        <w:rPr>
          <w:u w:val="single"/>
        </w:rPr>
        <w:t>výroby vodíkových vlaků</w:t>
      </w:r>
      <w:r w:rsidRPr="004F707E">
        <w:t>. Potenciál využití těchto vlaků může být zejména na těch tratích, které zatím nejsou elektrizovány, případně kde se tato elektrizace plánuje ve střednědobém horizontu a</w:t>
      </w:r>
      <w:r w:rsidR="00546698">
        <w:t> </w:t>
      </w:r>
      <w:r w:rsidRPr="004F707E">
        <w:t>kde by vodíková železniční vozidla mohla být nasazována jako dočasné řešení. Využití vodíku na železnici by zároveň mohlo být pozitivní z</w:t>
      </w:r>
      <w:r w:rsidR="00546698">
        <w:t> </w:t>
      </w:r>
      <w:r w:rsidRPr="004F707E">
        <w:t>hlediska strategie zavádění vodíku v</w:t>
      </w:r>
      <w:r w:rsidR="00546698">
        <w:t> </w:t>
      </w:r>
      <w:r w:rsidRPr="004F707E">
        <w:t>silniční dopravě, neboť by umožnilo výstavbu většího počtu vodíkových plnících stanic, než kolik by jich jinak mohlo vzniknout jen čistě za účelem rozvoje silniční vodíkové mobility.</w:t>
      </w:r>
      <w:r>
        <w:t xml:space="preserve"> </w:t>
      </w:r>
      <w:r w:rsidRPr="004F707E">
        <w:t xml:space="preserve"> </w:t>
      </w:r>
    </w:p>
    <w:p w14:paraId="0CEBD61F" w14:textId="77777777" w:rsidR="001B4719" w:rsidRDefault="001B4719" w:rsidP="001B4719">
      <w:pPr>
        <w:spacing w:before="0" w:after="200" w:line="276" w:lineRule="auto"/>
        <w:rPr>
          <w:rStyle w:val="Nadpis2Char"/>
          <w:iCs w:val="0"/>
          <w:kern w:val="32"/>
          <w:sz w:val="28"/>
          <w:szCs w:val="32"/>
        </w:rPr>
      </w:pPr>
      <w:bookmarkStart w:id="526" w:name="_Toc19792382"/>
      <w:bookmarkStart w:id="527" w:name="_Ref20302636"/>
      <w:r>
        <w:rPr>
          <w:rStyle w:val="Nadpis2Char"/>
          <w:b w:val="0"/>
          <w:sz w:val="28"/>
          <w:szCs w:val="32"/>
        </w:rPr>
        <w:br w:type="page"/>
      </w:r>
    </w:p>
    <w:p w14:paraId="4E8208BA" w14:textId="77777777" w:rsidR="001B4719" w:rsidRPr="00913228" w:rsidRDefault="001B4719" w:rsidP="0030433F">
      <w:pPr>
        <w:pStyle w:val="Nadpis1"/>
        <w:rPr>
          <w:rStyle w:val="Nadpis2Char"/>
          <w:b/>
          <w:bCs/>
          <w:iCs w:val="0"/>
          <w:sz w:val="28"/>
        </w:rPr>
      </w:pPr>
      <w:bookmarkStart w:id="528" w:name="_Toc25067662"/>
      <w:bookmarkStart w:id="529" w:name="_Toc25084499"/>
      <w:bookmarkStart w:id="530" w:name="_Toc25136829"/>
      <w:bookmarkStart w:id="531" w:name="_Toc34295955"/>
      <w:r>
        <w:rPr>
          <w:rStyle w:val="Nadpis2Char"/>
          <w:b/>
          <w:bCs/>
          <w:sz w:val="28"/>
        </w:rPr>
        <w:lastRenderedPageBreak/>
        <w:t>Analytický materiál - d</w:t>
      </w:r>
      <w:r w:rsidRPr="00913228">
        <w:rPr>
          <w:rStyle w:val="Nadpis2Char"/>
          <w:b/>
          <w:bCs/>
          <w:sz w:val="28"/>
        </w:rPr>
        <w:t>alší alternativní paliva</w:t>
      </w:r>
      <w:bookmarkEnd w:id="445"/>
      <w:bookmarkEnd w:id="446"/>
      <w:bookmarkEnd w:id="526"/>
      <w:bookmarkEnd w:id="527"/>
      <w:bookmarkEnd w:id="528"/>
      <w:bookmarkEnd w:id="529"/>
      <w:bookmarkEnd w:id="530"/>
      <w:bookmarkEnd w:id="531"/>
    </w:p>
    <w:p w14:paraId="6D95B182" w14:textId="77777777" w:rsidR="001B4719" w:rsidRPr="0050685D" w:rsidRDefault="001B4719" w:rsidP="001B4719">
      <w:pPr>
        <w:pStyle w:val="Nadpis2"/>
        <w:numPr>
          <w:ilvl w:val="1"/>
          <w:numId w:val="9"/>
        </w:numPr>
        <w:jc w:val="both"/>
      </w:pPr>
      <w:bookmarkStart w:id="532" w:name="_Toc19792383"/>
      <w:bookmarkStart w:id="533" w:name="_Toc25067663"/>
      <w:bookmarkStart w:id="534" w:name="_Toc25084500"/>
      <w:bookmarkStart w:id="535" w:name="_Toc25136830"/>
      <w:bookmarkStart w:id="536" w:name="_Toc13685908"/>
      <w:bookmarkStart w:id="537" w:name="_Toc13753805"/>
      <w:bookmarkStart w:id="538" w:name="_Toc34295956"/>
      <w:r w:rsidRPr="00262460">
        <w:t>LPG / bio</w:t>
      </w:r>
      <w:r>
        <w:t xml:space="preserve"> LPG</w:t>
      </w:r>
      <w:bookmarkEnd w:id="532"/>
      <w:bookmarkEnd w:id="533"/>
      <w:bookmarkEnd w:id="534"/>
      <w:bookmarkEnd w:id="535"/>
      <w:bookmarkEnd w:id="538"/>
    </w:p>
    <w:p w14:paraId="22C7B300" w14:textId="77777777" w:rsidR="001B4719" w:rsidRPr="0050685D" w:rsidRDefault="001B4719" w:rsidP="001B4719">
      <w:pPr>
        <w:pStyle w:val="Nadpis3"/>
        <w:numPr>
          <w:ilvl w:val="2"/>
          <w:numId w:val="9"/>
        </w:numPr>
        <w:tabs>
          <w:tab w:val="left" w:pos="851"/>
          <w:tab w:val="num" w:pos="2411"/>
        </w:tabs>
        <w:ind w:left="284" w:firstLine="0"/>
        <w:jc w:val="both"/>
      </w:pPr>
      <w:bookmarkStart w:id="539" w:name="_Toc19792384"/>
      <w:bookmarkStart w:id="540" w:name="_Toc25084501"/>
      <w:bookmarkStart w:id="541" w:name="_Toc25136831"/>
      <w:bookmarkStart w:id="542" w:name="_Toc34295957"/>
      <w:r w:rsidRPr="0050685D">
        <w:t xml:space="preserve">Popis </w:t>
      </w:r>
      <w:r w:rsidRPr="00262460">
        <w:t>současného</w:t>
      </w:r>
      <w:r w:rsidRPr="0050685D">
        <w:t xml:space="preserve"> stavu a</w:t>
      </w:r>
      <w:r w:rsidR="00546698">
        <w:t> </w:t>
      </w:r>
      <w:r w:rsidRPr="0050685D">
        <w:t>predikce vývoje</w:t>
      </w:r>
      <w:bookmarkEnd w:id="539"/>
      <w:bookmarkEnd w:id="540"/>
      <w:bookmarkEnd w:id="541"/>
      <w:bookmarkEnd w:id="542"/>
    </w:p>
    <w:p w14:paraId="622ADAB1" w14:textId="77777777" w:rsidR="001B4719" w:rsidRDefault="001B4719" w:rsidP="001B4719">
      <w:pPr>
        <w:jc w:val="both"/>
      </w:pPr>
      <w:r w:rsidRPr="0050685D">
        <w:t>LPG je aktuálně nejrozšířenějším alternativním pohonem na tuzemském trhu s</w:t>
      </w:r>
      <w:r w:rsidR="00546698">
        <w:t> </w:t>
      </w:r>
      <w:r w:rsidRPr="0050685D">
        <w:t>největší sítí čerpacích a</w:t>
      </w:r>
      <w:r w:rsidR="00546698">
        <w:t> </w:t>
      </w:r>
      <w:r w:rsidRPr="0050685D">
        <w:t>servisních stanic. Uživatelé vozů LPG dnes využívají 900 míst, kde lze LPG tankovat. Stejně tak je plně konkurenčně rozvinutá i</w:t>
      </w:r>
      <w:r w:rsidR="00546698">
        <w:t> </w:t>
      </w:r>
      <w:r w:rsidRPr="0050685D">
        <w:t>část distribuce, dostatečné množství distributorů (velkoobchodníků a</w:t>
      </w:r>
      <w:r w:rsidR="00546698">
        <w:t> </w:t>
      </w:r>
      <w:r w:rsidRPr="0050685D">
        <w:t>skladů) na trhu zajišťuje dlouhodobě nízkou cenu produktu pro konečného spotřebitele.</w:t>
      </w:r>
    </w:p>
    <w:p w14:paraId="2114B462" w14:textId="77777777" w:rsidR="001B4719" w:rsidRDefault="001B4719" w:rsidP="001B4719">
      <w:pPr>
        <w:jc w:val="both"/>
      </w:pPr>
      <w:r w:rsidRPr="0050685D">
        <w:t>Fosilní LPG, které je směsí plynných uhlovodíků, především propanu a</w:t>
      </w:r>
      <w:r w:rsidR="00546698">
        <w:t> </w:t>
      </w:r>
      <w:r w:rsidRPr="0050685D">
        <w:t>butanu, se získává při těžbě zemního plynu nebo v</w:t>
      </w:r>
      <w:r w:rsidR="00546698">
        <w:t> </w:t>
      </w:r>
      <w:r w:rsidRPr="0050685D">
        <w:t>průběhu rafinace ropy. Proto při jakékoliv změně poměru tradičních fosilních zdrojů (zemní plyn – ropa) bude jakožto vedlejší produkt stále vznikat v</w:t>
      </w:r>
      <w:r w:rsidR="00546698">
        <w:t> </w:t>
      </w:r>
      <w:r w:rsidRPr="0050685D">
        <w:t>podobné míře a</w:t>
      </w:r>
      <w:r w:rsidR="00546698">
        <w:t> </w:t>
      </w:r>
      <w:r w:rsidRPr="0050685D">
        <w:t>nehrozí snižo</w:t>
      </w:r>
      <w:r>
        <w:t>vání jeho dostupnosti.</w:t>
      </w:r>
    </w:p>
    <w:p w14:paraId="3258E5A6" w14:textId="77777777" w:rsidR="001B4719" w:rsidRPr="0050685D" w:rsidRDefault="001B4719" w:rsidP="001B4719">
      <w:pPr>
        <w:jc w:val="both"/>
      </w:pPr>
      <w:r>
        <w:t>Dle zpracovaných studií</w:t>
      </w:r>
      <w:r>
        <w:rPr>
          <w:rStyle w:val="Znakapoznpodarou"/>
        </w:rPr>
        <w:footnoteReference w:id="20"/>
      </w:r>
      <w:r>
        <w:t>, je při použití LPG emitováno méně skleníkových plynů a</w:t>
      </w:r>
      <w:r w:rsidR="00546698">
        <w:t> </w:t>
      </w:r>
      <w:r>
        <w:t>ostatních škodlivých látek v</w:t>
      </w:r>
      <w:r w:rsidR="00546698">
        <w:t> </w:t>
      </w:r>
      <w:r>
        <w:t>porovnání s</w:t>
      </w:r>
      <w:r w:rsidR="00546698">
        <w:t> </w:t>
      </w:r>
      <w:r>
        <w:t>benzínovým vozem.</w:t>
      </w:r>
    </w:p>
    <w:p w14:paraId="176EE72D" w14:textId="77777777" w:rsidR="001B4719" w:rsidRPr="0050685D" w:rsidRDefault="001B4719" w:rsidP="001B4719">
      <w:pPr>
        <w:jc w:val="both"/>
      </w:pPr>
      <w:r w:rsidRPr="0050685D">
        <w:t>Typickým uživatelem LPG je vlastník přestavěného staršího benzínového vozu. Tato sociální skupina provozuje významné množství starších a</w:t>
      </w:r>
      <w:r w:rsidR="00546698">
        <w:t> </w:t>
      </w:r>
      <w:r w:rsidRPr="0050685D">
        <w:t>emisně horších vozů podílejících se značnou měrou na celkovém znečištění ovzduší způsobeném dopravou. Ani v</w:t>
      </w:r>
      <w:r w:rsidR="00546698">
        <w:t> </w:t>
      </w:r>
      <w:r w:rsidRPr="0050685D">
        <w:t>budoucnu nebude tato skupina disponovat prostředky na</w:t>
      </w:r>
      <w:r>
        <w:t> </w:t>
      </w:r>
      <w:r w:rsidRPr="0050685D">
        <w:t>pořízení moderních elektromobilů či hybridních vozů. Hlavním přínosem LPG je tak snižování emisí u</w:t>
      </w:r>
      <w:r w:rsidR="00546698">
        <w:t> </w:t>
      </w:r>
      <w:r w:rsidRPr="0050685D">
        <w:t>nejstarší části vozového parku, u</w:t>
      </w:r>
      <w:r w:rsidR="00546698">
        <w:t> </w:t>
      </w:r>
      <w:r w:rsidRPr="0050685D">
        <w:t>vozů, které by byly tak jako tak nadále v</w:t>
      </w:r>
      <w:r w:rsidR="00546698">
        <w:t> </w:t>
      </w:r>
      <w:r w:rsidRPr="0050685D">
        <w:t>provozu, ovšem s</w:t>
      </w:r>
      <w:r w:rsidR="00546698">
        <w:t> </w:t>
      </w:r>
      <w:r w:rsidRPr="0050685D">
        <w:t>mnohem většími emisními dopady.</w:t>
      </w:r>
    </w:p>
    <w:p w14:paraId="14A762F8" w14:textId="77777777" w:rsidR="001B4719" w:rsidRPr="00255A20" w:rsidRDefault="001B4719" w:rsidP="001B4719">
      <w:pPr>
        <w:jc w:val="both"/>
      </w:pPr>
      <w:r w:rsidRPr="00255A20">
        <w:t>Ačkoliv je LPG samo o</w:t>
      </w:r>
      <w:r w:rsidR="00546698">
        <w:t> </w:t>
      </w:r>
      <w:r w:rsidRPr="00255A20">
        <w:t>osobě z</w:t>
      </w:r>
      <w:r w:rsidR="00546698">
        <w:t> </w:t>
      </w:r>
      <w:r w:rsidRPr="00255A20">
        <w:t>hlediska emisí mimořádně čistým palivem, stávající výhoda v</w:t>
      </w:r>
      <w:r w:rsidR="00546698">
        <w:t> </w:t>
      </w:r>
      <w:r w:rsidRPr="00255A20">
        <w:t>budoucnu nemusí být dostatečná. I</w:t>
      </w:r>
      <w:r w:rsidR="00546698">
        <w:t> </w:t>
      </w:r>
      <w:r w:rsidRPr="00255A20">
        <w:t>proto se již několik let pracuje na technologiích a</w:t>
      </w:r>
      <w:r w:rsidR="00546698">
        <w:t> </w:t>
      </w:r>
      <w:r w:rsidRPr="00255A20">
        <w:t>programech vedoucích k</w:t>
      </w:r>
      <w:r w:rsidR="00546698">
        <w:t> </w:t>
      </w:r>
      <w:r w:rsidRPr="00255A20">
        <w:t>produkci bioLPG, tedy produktu, který v</w:t>
      </w:r>
      <w:r w:rsidR="00546698">
        <w:t> </w:t>
      </w:r>
      <w:r w:rsidRPr="00255A20">
        <w:t>sobě spojuje chemické vlastnosti LPG a</w:t>
      </w:r>
      <w:r w:rsidR="00546698">
        <w:t> </w:t>
      </w:r>
      <w:r w:rsidRPr="00255A20">
        <w:t>nízkoemisní původ / výrobu. BioLPG se produkuje uměle z</w:t>
      </w:r>
      <w:r w:rsidR="00546698">
        <w:t> </w:t>
      </w:r>
      <w:r w:rsidRPr="00255A20">
        <w:t>obnovitelných zdrojů, a</w:t>
      </w:r>
      <w:r w:rsidR="00546698">
        <w:t> </w:t>
      </w:r>
      <w:r w:rsidRPr="00255A20">
        <w:t>to bez fyzikálních či chemických rozdílů oproti tradičnímu fosilnímu LPG a</w:t>
      </w:r>
      <w:r w:rsidR="00546698">
        <w:t> </w:t>
      </w:r>
      <w:r w:rsidRPr="00255A20">
        <w:t>je tedy s</w:t>
      </w:r>
      <w:r w:rsidR="00546698">
        <w:t> </w:t>
      </w:r>
      <w:r w:rsidRPr="00255A20">
        <w:t>konvenčním LPG plně mísitelné. Pro konečného spotřebitele, respektive pro motor jeho vozu, nepředstavuje bioLPG žádnou změnu, není vyžadována žádná úprava motoru nebo chování řidiče.</w:t>
      </w:r>
    </w:p>
    <w:p w14:paraId="748C91B7" w14:textId="77777777" w:rsidR="001B4719" w:rsidRDefault="001B4719" w:rsidP="001B4719">
      <w:pPr>
        <w:spacing w:before="0" w:after="0"/>
        <w:jc w:val="both"/>
        <w:rPr>
          <w:rFonts w:cstheme="minorHAnsi"/>
          <w:b/>
          <w:bCs/>
          <w:iCs/>
          <w:sz w:val="24"/>
          <w:szCs w:val="28"/>
        </w:rPr>
      </w:pPr>
      <w:r w:rsidRPr="00255A20">
        <w:t>Dle studie Atlantic Consulting (švýcarská poradenská firma zabývající se posuzováním vlivu technologií na životní prostředí) aktuálně tvoří světová produkce bioLPG cca 200 000 tun ročně a</w:t>
      </w:r>
      <w:r w:rsidR="00546698">
        <w:t> </w:t>
      </w:r>
      <w:r w:rsidRPr="00255A20">
        <w:t>stále narůstá. V</w:t>
      </w:r>
      <w:r w:rsidR="00546698">
        <w:t> </w:t>
      </w:r>
      <w:r w:rsidRPr="00255A20">
        <w:t>současnosti využívané technologie (vedlejší produkt při výrobě HVO) však umožňují výrobu bioLPG pouze na úrovni jednotek procent jeho celkové spotřeby.</w:t>
      </w:r>
      <w:r>
        <w:t xml:space="preserve"> </w:t>
      </w:r>
      <w:r w:rsidRPr="00255A20">
        <w:t>Dalším rozvojem a</w:t>
      </w:r>
      <w:r w:rsidR="00546698">
        <w:t> </w:t>
      </w:r>
      <w:r w:rsidRPr="00255A20">
        <w:t>aplikací nových technologií je však možné dosáhnout v</w:t>
      </w:r>
      <w:r w:rsidR="00546698">
        <w:t> </w:t>
      </w:r>
      <w:r w:rsidRPr="00255A20">
        <w:t>roce 2030 vyšší než 30 % podíl produkce LPG v</w:t>
      </w:r>
      <w:r w:rsidR="00546698">
        <w:t> </w:t>
      </w:r>
      <w:r w:rsidRPr="00255A20">
        <w:t>kvalitě bio. Nejslibnější se jeví výroba z</w:t>
      </w:r>
      <w:r w:rsidR="00546698">
        <w:t> </w:t>
      </w:r>
      <w:r w:rsidRPr="00255A20">
        <w:t>odpadní buničiny. Podle názorů odborné (chemické) veřejnosti je však zmiňovaná výroba z</w:t>
      </w:r>
      <w:r w:rsidR="00546698">
        <w:t> </w:t>
      </w:r>
      <w:r w:rsidRPr="00255A20">
        <w:t>buničiny pro české podmínky nevhodná. Nicméně za využitelnou technologii s</w:t>
      </w:r>
      <w:r w:rsidR="00546698">
        <w:t> </w:t>
      </w:r>
      <w:r w:rsidRPr="00255A20">
        <w:t>velkým potenciálem lze považovat například možnost fermentace cukrů a</w:t>
      </w:r>
      <w:r w:rsidR="00546698">
        <w:t> </w:t>
      </w:r>
      <w:r w:rsidRPr="00255A20">
        <w:t>zejména pak hydrogenaci glycerinu z</w:t>
      </w:r>
      <w:r w:rsidR="00546698">
        <w:t> </w:t>
      </w:r>
      <w:r w:rsidRPr="00255A20">
        <w:t>odpadních olejů v</w:t>
      </w:r>
      <w:r w:rsidR="00546698">
        <w:t> </w:t>
      </w:r>
      <w:r w:rsidRPr="00255A20">
        <w:t>kombinaci s</w:t>
      </w:r>
      <w:r w:rsidR="00546698">
        <w:t> </w:t>
      </w:r>
      <w:r w:rsidRPr="00255A20">
        <w:t>elektrolýzou při výrobě glycerolu.</w:t>
      </w:r>
    </w:p>
    <w:p w14:paraId="4FBF2093" w14:textId="77777777" w:rsidR="001B4719" w:rsidRPr="0050685D" w:rsidRDefault="001B4719" w:rsidP="001B4719">
      <w:pPr>
        <w:pStyle w:val="Nadpis4"/>
        <w:numPr>
          <w:ilvl w:val="3"/>
          <w:numId w:val="9"/>
        </w:numPr>
        <w:jc w:val="both"/>
      </w:pPr>
      <w:bookmarkStart w:id="543" w:name="_Toc25136832"/>
      <w:bookmarkStart w:id="544" w:name="_Toc19792385"/>
      <w:bookmarkStart w:id="545" w:name="_Toc34295958"/>
      <w:r w:rsidRPr="0050685D">
        <w:t>Scénáře pro vozový park</w:t>
      </w:r>
      <w:bookmarkEnd w:id="543"/>
      <w:bookmarkEnd w:id="545"/>
    </w:p>
    <w:p w14:paraId="7251946C" w14:textId="77777777" w:rsidR="001B4719" w:rsidRPr="0050685D" w:rsidRDefault="001B4719" w:rsidP="001B4719">
      <w:pPr>
        <w:jc w:val="both"/>
        <w:rPr>
          <w:rFonts w:asciiTheme="majorHAnsi" w:hAnsiTheme="majorHAnsi" w:cstheme="minorHAnsi"/>
          <w:szCs w:val="22"/>
        </w:rPr>
      </w:pPr>
      <w:r w:rsidRPr="0050685D">
        <w:t>ČR patří k</w:t>
      </w:r>
      <w:r w:rsidR="00546698">
        <w:t> </w:t>
      </w:r>
      <w:r w:rsidRPr="0050685D">
        <w:t>zemím s</w:t>
      </w:r>
      <w:r w:rsidR="00546698">
        <w:t> </w:t>
      </w:r>
      <w:r w:rsidRPr="0050685D">
        <w:t>nejrozšířenějším vozovým parkem poháněným LPG v</w:t>
      </w:r>
      <w:r w:rsidR="00546698">
        <w:t> </w:t>
      </w:r>
      <w:r w:rsidRPr="0050685D">
        <w:t>Evropě. Zejména prostřednictvím výhodné spotřební daně, která byla stanovena na dolní hranici stanovené evropskými daňovými předpisy, tu postupně vyrostla silná flotila vozů i</w:t>
      </w:r>
      <w:r w:rsidR="00546698">
        <w:t> </w:t>
      </w:r>
      <w:r w:rsidRPr="0050685D">
        <w:t>související bohatá infrastruktura.</w:t>
      </w:r>
      <w:r>
        <w:t xml:space="preserve"> </w:t>
      </w:r>
      <w:r w:rsidRPr="0050685D">
        <w:t>Kvalifikovaný odhad aktuálního počtu vozů na LPG v</w:t>
      </w:r>
      <w:r w:rsidR="00546698">
        <w:t> </w:t>
      </w:r>
      <w:r w:rsidRPr="0050685D">
        <w:t>Česku činí 170 000. Tyto vozy nyní přináší úsporu přes 70 000 tun CO</w:t>
      </w:r>
      <w:r w:rsidRPr="0050685D">
        <w:rPr>
          <w:vertAlign w:val="subscript"/>
        </w:rPr>
        <w:t>2</w:t>
      </w:r>
      <w:r w:rsidRPr="0050685D">
        <w:t xml:space="preserve"> ročně oproti situaci, kdy by tatáž vozidla spalovala benzín.</w:t>
      </w:r>
    </w:p>
    <w:p w14:paraId="3EB7D817" w14:textId="77777777" w:rsidR="001B4719" w:rsidRPr="0050685D" w:rsidRDefault="001B4719" w:rsidP="001B4719">
      <w:pPr>
        <w:pStyle w:val="Nadpis4"/>
        <w:numPr>
          <w:ilvl w:val="3"/>
          <w:numId w:val="9"/>
        </w:numPr>
        <w:jc w:val="both"/>
      </w:pPr>
      <w:bookmarkStart w:id="546" w:name="_Toc25136833"/>
      <w:bookmarkStart w:id="547" w:name="_Toc34295959"/>
      <w:r w:rsidRPr="0050685D">
        <w:lastRenderedPageBreak/>
        <w:t>Podmínky výroby a</w:t>
      </w:r>
      <w:r w:rsidR="00546698">
        <w:t> </w:t>
      </w:r>
      <w:r w:rsidRPr="0050685D">
        <w:t>predikce vývoje užití bioLPG</w:t>
      </w:r>
      <w:bookmarkEnd w:id="546"/>
      <w:bookmarkEnd w:id="547"/>
    </w:p>
    <w:p w14:paraId="2DE9B0B7" w14:textId="77777777" w:rsidR="001B4719" w:rsidRPr="0050685D" w:rsidRDefault="001B4719" w:rsidP="001B4719">
      <w:pPr>
        <w:jc w:val="both"/>
      </w:pPr>
      <w:r w:rsidRPr="00255A20">
        <w:t>Rychlost nástupu bioLPG závisí na zanalyzování potenciálu výroby bioLPG v</w:t>
      </w:r>
      <w:r w:rsidR="00546698">
        <w:t> </w:t>
      </w:r>
      <w:r w:rsidRPr="00255A20">
        <w:t>ČR a</w:t>
      </w:r>
      <w:r w:rsidR="00546698">
        <w:t> </w:t>
      </w:r>
      <w:r w:rsidRPr="00255A20">
        <w:t>případné státní podpoře, jelikož výroba bioLPG je finančně náročnější (dražší) než tradiční fosilní paliva.</w:t>
      </w:r>
      <w:r>
        <w:t xml:space="preserve"> To souvisí i</w:t>
      </w:r>
      <w:r w:rsidR="00546698">
        <w:t> </w:t>
      </w:r>
      <w:r>
        <w:t>s možným vznikem výrobních kapacit v</w:t>
      </w:r>
      <w:r w:rsidR="00546698">
        <w:t> </w:t>
      </w:r>
      <w:r>
        <w:t>rámci ČR, pro které by mohla být uplatněna nějaká forma podpory. V</w:t>
      </w:r>
      <w:r w:rsidR="00546698">
        <w:t> </w:t>
      </w:r>
      <w:r>
        <w:t>této oblasti je nutné celou situaci zanalyzovat a</w:t>
      </w:r>
      <w:r w:rsidR="00546698">
        <w:t> </w:t>
      </w:r>
      <w:r>
        <w:t>identifikovat potenciál výroby a</w:t>
      </w:r>
      <w:r w:rsidR="00546698">
        <w:t> </w:t>
      </w:r>
      <w:r>
        <w:t>související aspekty v</w:t>
      </w:r>
      <w:r w:rsidR="00546698">
        <w:t> </w:t>
      </w:r>
      <w:r>
        <w:t>rámci ČR.</w:t>
      </w:r>
    </w:p>
    <w:p w14:paraId="792D2575" w14:textId="77777777" w:rsidR="001B4719" w:rsidRPr="0050685D" w:rsidRDefault="001B4719" w:rsidP="001B4719">
      <w:pPr>
        <w:pStyle w:val="Nadpis4"/>
        <w:numPr>
          <w:ilvl w:val="3"/>
          <w:numId w:val="9"/>
        </w:numPr>
        <w:jc w:val="both"/>
      </w:pPr>
      <w:bookmarkStart w:id="548" w:name="_Toc25136834"/>
      <w:bookmarkStart w:id="549" w:name="_Toc34295960"/>
      <w:r w:rsidRPr="0050685D">
        <w:t>Predikce výrobců a</w:t>
      </w:r>
      <w:r w:rsidR="00546698">
        <w:t> </w:t>
      </w:r>
      <w:r w:rsidRPr="0050685D">
        <w:t>distributorů vozidel na trhu ČR</w:t>
      </w:r>
      <w:bookmarkEnd w:id="548"/>
      <w:bookmarkEnd w:id="549"/>
    </w:p>
    <w:p w14:paraId="5402F68F" w14:textId="77777777" w:rsidR="001B4719" w:rsidRDefault="001B4719" w:rsidP="001B4719">
      <w:pPr>
        <w:jc w:val="both"/>
      </w:pPr>
      <w:r w:rsidRPr="0050685D">
        <w:t>Nedostatek nových vozů na trhu je způsoben především nevhodnou metodikou, kterou</w:t>
      </w:r>
      <w:r>
        <w:t> </w:t>
      </w:r>
      <w:r w:rsidRPr="0050685D">
        <w:t>Evropská unie využívá k</w:t>
      </w:r>
      <w:r w:rsidR="00546698">
        <w:t> </w:t>
      </w:r>
      <w:r w:rsidRPr="0050685D">
        <w:t>hodnocení GHG emisí z</w:t>
      </w:r>
      <w:r w:rsidR="00546698">
        <w:t> </w:t>
      </w:r>
      <w:r w:rsidRPr="0050685D">
        <w:t>vozů nově dodávaných na trh. Ačkoli GHG emise jsou globálním problémem, působí vysoko v</w:t>
      </w:r>
      <w:r w:rsidR="00546698">
        <w:t> </w:t>
      </w:r>
      <w:r w:rsidRPr="0050685D">
        <w:t>atmosféře, EU metodika zohledňuje pouze tu jejich část, která vzniká spalováním v</w:t>
      </w:r>
      <w:r w:rsidR="00546698">
        <w:t> </w:t>
      </w:r>
      <w:r w:rsidRPr="0050685D">
        <w:t>motoru a</w:t>
      </w:r>
      <w:r w:rsidR="00546698">
        <w:t> </w:t>
      </w:r>
      <w:r w:rsidRPr="0050685D">
        <w:t>je měřitelná na výfuku (tailpipe). U</w:t>
      </w:r>
      <w:r w:rsidR="00546698">
        <w:t> </w:t>
      </w:r>
      <w:r w:rsidRPr="0050685D">
        <w:t xml:space="preserve">spalovacího motoru je ve výpočtu dokonce předpokládáno, že vůz jede na palivo 100 % fosilního původu. </w:t>
      </w:r>
    </w:p>
    <w:p w14:paraId="10B9ABF0" w14:textId="77777777" w:rsidR="001B4719" w:rsidRPr="0050685D" w:rsidRDefault="001B4719" w:rsidP="001B4719">
      <w:pPr>
        <w:jc w:val="both"/>
      </w:pPr>
      <w:r w:rsidRPr="0050685D">
        <w:t>Evropská komise je zavázána, aby do roku 2023 zvážila změnu metodiky a</w:t>
      </w:r>
      <w:r w:rsidR="00546698">
        <w:t> </w:t>
      </w:r>
      <w:r w:rsidRPr="0050685D">
        <w:t>ve výpočtu emisí případně zohlednila celý životní cyklus paliva W</w:t>
      </w:r>
      <w:r>
        <w:t>-</w:t>
      </w:r>
      <w:r w:rsidRPr="0050685D">
        <w:t>t</w:t>
      </w:r>
      <w:r>
        <w:t>-</w:t>
      </w:r>
      <w:r w:rsidRPr="0050685D">
        <w:t>W. Pokud tato změna proběhne (“zvážit" neznamená povinnost změnu provést), může to přinést “reinkarnaci” nejen LPG pohonu. Upravená metodika by totiž měla zohlednit i</w:t>
      </w:r>
      <w:r w:rsidR="00546698">
        <w:t> </w:t>
      </w:r>
      <w:r w:rsidRPr="0050685D">
        <w:t xml:space="preserve">nižší emise různých biopříměsí do standardních fosilních paliv, zatímco elektromobil bude zatížen národním energetickým mixem. </w:t>
      </w:r>
    </w:p>
    <w:p w14:paraId="3E05BD73" w14:textId="77777777" w:rsidR="001B4719" w:rsidRPr="0050685D" w:rsidRDefault="001B4719" w:rsidP="001B4719">
      <w:pPr>
        <w:jc w:val="both"/>
      </w:pPr>
      <w:r w:rsidRPr="0050685D">
        <w:t>Ačkoli dnes řada automobilek stále má v</w:t>
      </w:r>
      <w:r w:rsidR="00546698">
        <w:t> </w:t>
      </w:r>
      <w:r w:rsidRPr="0050685D">
        <w:t>nabídce LPG vozy, z</w:t>
      </w:r>
      <w:r w:rsidR="00546698">
        <w:t> </w:t>
      </w:r>
      <w:r w:rsidRPr="0050685D">
        <w:t>výše uvedených důvodů je nutno předpokládat, že jejich tovární produkce bude klesat. Jakkoli lze takový vývoj považovat za nepříjemný (ale zřejmě realistický), je naštěstí trh vozů LPG tvořen především přestavbami. Podle dostupných statistik se podíl vozů nově uváděných do provozu k</w:t>
      </w:r>
      <w:r w:rsidR="00546698">
        <w:t> </w:t>
      </w:r>
      <w:r w:rsidRPr="0050685D">
        <w:t>přestavbám pohybuje již dlouhá léta na poměru 1:10. V</w:t>
      </w:r>
      <w:r w:rsidR="00546698">
        <w:t> </w:t>
      </w:r>
      <w:r w:rsidRPr="0050685D">
        <w:t>posledních letech došlo i</w:t>
      </w:r>
      <w:r w:rsidR="00546698">
        <w:t> </w:t>
      </w:r>
      <w:r w:rsidRPr="0050685D">
        <w:t>u</w:t>
      </w:r>
      <w:r>
        <w:t> </w:t>
      </w:r>
      <w:r w:rsidRPr="0050685D">
        <w:t>přestaveb k</w:t>
      </w:r>
      <w:r w:rsidR="00546698">
        <w:t> </w:t>
      </w:r>
      <w:r w:rsidRPr="0050685D">
        <w:t>mírnému poklesu, který byl způsoben zejména stavem, kdy do „věku přestavby“ dozrály i</w:t>
      </w:r>
      <w:r w:rsidR="00546698">
        <w:t> </w:t>
      </w:r>
      <w:r w:rsidRPr="0050685D">
        <w:t>modernější přímovstřikové motory, pro které ještě donedávna neexistovaly vhodné přestavbové sady. Tento problém je už technicky vyřešen a</w:t>
      </w:r>
      <w:r w:rsidR="00546698">
        <w:t> </w:t>
      </w:r>
      <w:r w:rsidRPr="0050685D">
        <w:t>zhruba polovina firem, které</w:t>
      </w:r>
      <w:r>
        <w:t> </w:t>
      </w:r>
      <w:r w:rsidRPr="0050685D">
        <w:t>přestavbové sady vyrábějí, již má v</w:t>
      </w:r>
      <w:r w:rsidR="00546698">
        <w:t> </w:t>
      </w:r>
      <w:r w:rsidRPr="0050685D">
        <w:t>nabídce produkt určený právě pro motory s</w:t>
      </w:r>
      <w:r w:rsidR="00546698">
        <w:t> </w:t>
      </w:r>
      <w:r w:rsidRPr="0050685D">
        <w:t>přímým vstřikem. Lze tedy předpokládat, že množství přestavovaných vozů se vrátí zpět na původní úroveň.</w:t>
      </w:r>
    </w:p>
    <w:p w14:paraId="7D41C582" w14:textId="77777777" w:rsidR="001B4719" w:rsidRPr="0050685D" w:rsidRDefault="001B4719" w:rsidP="001B4719">
      <w:pPr>
        <w:jc w:val="both"/>
      </w:pPr>
      <w:r w:rsidRPr="0050685D">
        <w:t xml:space="preserve"> Z</w:t>
      </w:r>
      <w:r w:rsidR="00546698">
        <w:t> </w:t>
      </w:r>
      <w:r w:rsidRPr="0050685D">
        <w:t>hlediska počtu vozů na trhu tak mohou nastat tři scénáře:</w:t>
      </w:r>
    </w:p>
    <w:p w14:paraId="5F42F92C" w14:textId="77777777" w:rsidR="001B4719" w:rsidRPr="0050685D" w:rsidRDefault="001B4719" w:rsidP="001B4719">
      <w:pPr>
        <w:pStyle w:val="Bullet1"/>
        <w:ind w:left="568" w:hanging="284"/>
        <w:jc w:val="both"/>
      </w:pPr>
      <w:r w:rsidRPr="0050685D">
        <w:t xml:space="preserve">Scénář </w:t>
      </w:r>
      <w:r w:rsidRPr="0050685D">
        <w:rPr>
          <w:b/>
        </w:rPr>
        <w:t>S</w:t>
      </w:r>
      <w:r w:rsidR="00546698">
        <w:t> </w:t>
      </w:r>
      <w:r w:rsidRPr="0050685D">
        <w:t>(stagnace) – počet vozů zůstane stabilizován na stávajícím počtu</w:t>
      </w:r>
    </w:p>
    <w:p w14:paraId="275DEB05" w14:textId="77777777" w:rsidR="001B4719" w:rsidRPr="0050685D" w:rsidRDefault="001B4719" w:rsidP="001B4719">
      <w:pPr>
        <w:jc w:val="both"/>
      </w:pPr>
      <w:r w:rsidRPr="0050685D">
        <w:t>Na trh LPG se budou postupně dostávat přestavěné vozy s</w:t>
      </w:r>
      <w:r w:rsidR="00546698">
        <w:t> </w:t>
      </w:r>
      <w:r w:rsidRPr="0050685D">
        <w:t>přímým vstřikem. Ročně se podaří přestavět kolem 15 000 až 20 000 vozidel, čímž bude zajištěna průběžná obnova autoparku čítajícího 170 000 vozů. Spotřeba LPG tak ani neporoste, ani neklesne. Podmínkou takového vývoje je zachování sazby spotřební daně LPG na spodní hranici požadované Evropskou unií</w:t>
      </w:r>
      <w:r>
        <w:t>.</w:t>
      </w:r>
    </w:p>
    <w:p w14:paraId="590DF715" w14:textId="77777777" w:rsidR="001B4719" w:rsidRPr="0050685D" w:rsidRDefault="001B4719" w:rsidP="001B4719">
      <w:pPr>
        <w:pStyle w:val="Bullet1"/>
        <w:ind w:left="568" w:hanging="284"/>
        <w:jc w:val="both"/>
      </w:pPr>
      <w:r w:rsidRPr="0050685D">
        <w:t xml:space="preserve">Scénář </w:t>
      </w:r>
      <w:r w:rsidRPr="0050685D">
        <w:rPr>
          <w:b/>
        </w:rPr>
        <w:t>R</w:t>
      </w:r>
      <w:r w:rsidR="00546698">
        <w:t> </w:t>
      </w:r>
      <w:r w:rsidRPr="0050685D">
        <w:t>(růst) – počet vozů poroste k</w:t>
      </w:r>
      <w:r w:rsidR="00546698">
        <w:t> </w:t>
      </w:r>
      <w:r w:rsidRPr="0050685D">
        <w:t>hranici až 250 000 vozů</w:t>
      </w:r>
    </w:p>
    <w:p w14:paraId="07CCB96C" w14:textId="77777777" w:rsidR="001B4719" w:rsidRPr="0050685D" w:rsidRDefault="001B4719" w:rsidP="001B4719">
      <w:pPr>
        <w:jc w:val="both"/>
      </w:pPr>
      <w:r w:rsidRPr="0050685D">
        <w:t>Optimistický scénář vychází z</w:t>
      </w:r>
      <w:r w:rsidR="00546698">
        <w:t> </w:t>
      </w:r>
      <w:r w:rsidRPr="0050685D">
        <w:t>cílového předpokladu DG MOVE (2018), že plynová paliva (CNG a</w:t>
      </w:r>
      <w:r w:rsidR="00546698">
        <w:t> </w:t>
      </w:r>
      <w:r w:rsidRPr="0050685D">
        <w:t>LPG dohromady) si budou držet v</w:t>
      </w:r>
      <w:r w:rsidR="00546698">
        <w:t> </w:t>
      </w:r>
      <w:r w:rsidRPr="0050685D">
        <w:t>dopravě asi 6 % podíl. Takové situace lze dosáhnout dalšími podpůrnými opatřeními stimulujícími využívání LPG jako paliva. Jde například o</w:t>
      </w:r>
      <w:r w:rsidR="00546698">
        <w:t> </w:t>
      </w:r>
      <w:r w:rsidRPr="0050685D">
        <w:t>nízkoemisní zóny ve městech, nižší dálniční poplatky, příspěvky na přestavby (přímá finanční podpora nebo</w:t>
      </w:r>
      <w:r>
        <w:t> </w:t>
      </w:r>
      <w:r w:rsidRPr="0050685D">
        <w:t>bezúročné krátkodobé půjčky). Nárůst na 250 000 vozidel bude znamenat i</w:t>
      </w:r>
      <w:r w:rsidR="00546698">
        <w:t> </w:t>
      </w:r>
      <w:r w:rsidRPr="0050685D">
        <w:t>zvýšení spotřeby LPG v</w:t>
      </w:r>
      <w:r w:rsidR="00546698">
        <w:t> </w:t>
      </w:r>
      <w:r w:rsidRPr="0050685D">
        <w:t>dopravě na zhruba 150 000 tun ročně.</w:t>
      </w:r>
    </w:p>
    <w:p w14:paraId="53F22113" w14:textId="77777777" w:rsidR="001B4719" w:rsidRPr="0050685D" w:rsidRDefault="001B4719" w:rsidP="001B4719">
      <w:pPr>
        <w:pStyle w:val="Bullet1"/>
        <w:ind w:left="568" w:hanging="284"/>
        <w:jc w:val="both"/>
      </w:pPr>
      <w:r w:rsidRPr="0050685D">
        <w:t xml:space="preserve">Scénář </w:t>
      </w:r>
      <w:r w:rsidRPr="0050685D">
        <w:rPr>
          <w:b/>
        </w:rPr>
        <w:t>P</w:t>
      </w:r>
      <w:r w:rsidR="00546698">
        <w:t> </w:t>
      </w:r>
      <w:r w:rsidRPr="0050685D">
        <w:t>(pokles) – počet vozů bude pozvolna klesat a</w:t>
      </w:r>
      <w:r w:rsidR="00546698">
        <w:t> </w:t>
      </w:r>
      <w:r>
        <w:t xml:space="preserve">trh LPG během následujících 15 </w:t>
      </w:r>
      <w:r w:rsidRPr="0050685D">
        <w:t>let zcela zanikne</w:t>
      </w:r>
    </w:p>
    <w:p w14:paraId="0AEBC2A0" w14:textId="77777777" w:rsidR="006A06F0" w:rsidRPr="006A06F0" w:rsidRDefault="001B4719" w:rsidP="006A06F0">
      <w:pPr>
        <w:jc w:val="both"/>
      </w:pPr>
      <w:r w:rsidRPr="0050685D">
        <w:t>K tomuto scénáři by mohlo dojít za situace, kdy by se stát začal k</w:t>
      </w:r>
      <w:r w:rsidR="00546698">
        <w:t> </w:t>
      </w:r>
      <w:r w:rsidRPr="0050685D">
        <w:t>LPG stavět jako ke „špinavému“ palivu, jeho dnešní uživatelé by v</w:t>
      </w:r>
      <w:r w:rsidR="00546698">
        <w:t> </w:t>
      </w:r>
      <w:r w:rsidRPr="0050685D">
        <w:t>něm již neviděli perspektivu a</w:t>
      </w:r>
      <w:r w:rsidR="00546698">
        <w:t> </w:t>
      </w:r>
      <w:r w:rsidRPr="0050685D">
        <w:t>neměli by při obnově vozu zájem znovu investovat do přestavby. Méně LPG vozů v</w:t>
      </w:r>
      <w:r w:rsidR="00546698">
        <w:t> </w:t>
      </w:r>
      <w:r w:rsidRPr="0050685D">
        <w:t>provozu bude postupně znamenat méně specializovaných servisů, méně plnících stanic a</w:t>
      </w:r>
      <w:r w:rsidR="00546698">
        <w:t> </w:t>
      </w:r>
      <w:r w:rsidRPr="0050685D">
        <w:t>klesající spirála nakonec povede k</w:t>
      </w:r>
      <w:r w:rsidR="00546698">
        <w:t> </w:t>
      </w:r>
      <w:r w:rsidRPr="0050685D">
        <w:t>opuštění LPG jako motorového paliva. Takový vývoj si lze představit, v</w:t>
      </w:r>
      <w:r w:rsidR="00546698">
        <w:t> </w:t>
      </w:r>
      <w:r w:rsidRPr="0050685D">
        <w:t>konečném důsledku ale bude znamenat, že 170 000 (a teoreticky až 250 000) vozů té nejhorší emisní třídy zůstane v</w:t>
      </w:r>
      <w:r w:rsidR="00546698">
        <w:t> </w:t>
      </w:r>
      <w:r w:rsidRPr="0050685D">
        <w:t xml:space="preserve">provozu na původní </w:t>
      </w:r>
      <w:r w:rsidRPr="0050685D">
        <w:lastRenderedPageBreak/>
        <w:t>palivo – benzín, což bude mít na následek ve srovnání s</w:t>
      </w:r>
      <w:r w:rsidR="00546698">
        <w:t> </w:t>
      </w:r>
      <w:r w:rsidRPr="0050685D">
        <w:t>dneškem nárůst emisí CO</w:t>
      </w:r>
      <w:r w:rsidRPr="0050685D">
        <w:rPr>
          <w:vertAlign w:val="subscript"/>
        </w:rPr>
        <w:t>2</w:t>
      </w:r>
      <w:r w:rsidRPr="0050685D">
        <w:t xml:space="preserve"> i</w:t>
      </w:r>
      <w:r w:rsidR="00546698">
        <w:t> </w:t>
      </w:r>
      <w:r w:rsidRPr="0050685D">
        <w:t>ostatních škodlivých látek.</w:t>
      </w:r>
      <w:r>
        <w:t xml:space="preserve"> </w:t>
      </w:r>
      <w:r w:rsidRPr="0050685D">
        <w:t>Všechny scénáře jsou zpracovány v</w:t>
      </w:r>
      <w:r w:rsidR="00546698">
        <w:t> </w:t>
      </w:r>
      <w:r w:rsidRPr="0050685D">
        <w:t>grafu.</w:t>
      </w:r>
    </w:p>
    <w:p w14:paraId="11963D1C" w14:textId="77777777" w:rsidR="006A06F0" w:rsidRDefault="006A06F0" w:rsidP="006A06F0">
      <w:pPr>
        <w:pStyle w:val="Titulek"/>
        <w:keepNext/>
        <w:jc w:val="both"/>
      </w:pPr>
      <w:bookmarkStart w:id="550" w:name="_Toc25230433"/>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26</w:t>
      </w:r>
      <w:r w:rsidR="001614BC">
        <w:rPr>
          <w:noProof/>
        </w:rPr>
        <w:fldChar w:fldCharType="end"/>
      </w:r>
      <w:r w:rsidRPr="006A06F0">
        <w:t xml:space="preserve"> </w:t>
      </w:r>
      <w:r>
        <w:t>Graf s</w:t>
      </w:r>
      <w:r w:rsidRPr="00777306">
        <w:t>potřeb</w:t>
      </w:r>
      <w:r>
        <w:t>y</w:t>
      </w:r>
      <w:r w:rsidRPr="00777306">
        <w:t xml:space="preserve"> LPG na CZ trhu – čárový graf znázorňuje vývoj celkové spotřeby, sloupcový znázorňuje </w:t>
      </w:r>
      <w:r>
        <w:t xml:space="preserve">potenciální </w:t>
      </w:r>
      <w:r w:rsidRPr="00777306">
        <w:t>podíl bioLPG</w:t>
      </w:r>
      <w:bookmarkEnd w:id="550"/>
    </w:p>
    <w:p w14:paraId="4BB30B80" w14:textId="77777777" w:rsidR="001B4719" w:rsidRPr="0050685D" w:rsidRDefault="001B4719" w:rsidP="001B4719">
      <w:pPr>
        <w:pStyle w:val="Default"/>
        <w:jc w:val="both"/>
        <w:rPr>
          <w:rFonts w:asciiTheme="majorHAnsi" w:hAnsiTheme="majorHAnsi" w:cstheme="minorHAnsi"/>
          <w:sz w:val="22"/>
          <w:szCs w:val="22"/>
        </w:rPr>
      </w:pPr>
      <w:r w:rsidRPr="0050685D">
        <w:rPr>
          <w:rFonts w:asciiTheme="majorHAnsi" w:hAnsiTheme="majorHAnsi" w:cstheme="minorHAnsi"/>
          <w:noProof/>
          <w:lang w:eastAsia="cs-CZ"/>
        </w:rPr>
        <w:drawing>
          <wp:inline distT="0" distB="0" distL="0" distR="0" wp14:anchorId="1E8184B0" wp14:editId="69CC059D">
            <wp:extent cx="5760000" cy="5203371"/>
            <wp:effectExtent l="0" t="0" r="12700" b="16510"/>
            <wp:docPr id="17" name="Graf 17">
              <a:extLst xmlns:a="http://schemas.openxmlformats.org/drawingml/2006/main">
                <a:ext uri="{FF2B5EF4-FFF2-40B4-BE49-F238E27FC236}">
                  <a16:creationId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63ABA795-9472-A74A-8FAD-AA13F6B203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ECD0D69" w14:textId="77777777" w:rsidR="001B4719" w:rsidRPr="0050685D" w:rsidRDefault="001B4719" w:rsidP="001B4719">
      <w:pPr>
        <w:jc w:val="both"/>
      </w:pPr>
      <w:r w:rsidRPr="0050685D">
        <w:t>Zdroj: ČALPG</w:t>
      </w:r>
    </w:p>
    <w:p w14:paraId="0B883BCE" w14:textId="77777777" w:rsidR="001B4719" w:rsidRDefault="001B4719" w:rsidP="001B4719">
      <w:pPr>
        <w:jc w:val="both"/>
        <w:rPr>
          <w:rFonts w:cs="Arial"/>
          <w:b/>
          <w:bCs/>
          <w:kern w:val="32"/>
          <w:sz w:val="28"/>
          <w:szCs w:val="32"/>
        </w:rPr>
      </w:pPr>
      <w:r>
        <w:t>Jako nejméně výhodným jeví scénář P, který nejenže nepřináší další úspory emisí, ale naopak emise z</w:t>
      </w:r>
      <w:r w:rsidR="00546698">
        <w:t> </w:t>
      </w:r>
      <w:r>
        <w:t>dopravy zvyšuje. Scénář S</w:t>
      </w:r>
      <w:r w:rsidR="00546698">
        <w:t> </w:t>
      </w:r>
      <w:r>
        <w:t>nabízí zachování stávajícího stavu a</w:t>
      </w:r>
      <w:r w:rsidR="00546698">
        <w:t> </w:t>
      </w:r>
      <w:r>
        <w:t>zajímavých emisních úspor v</w:t>
      </w:r>
      <w:r w:rsidR="00546698">
        <w:t> </w:t>
      </w:r>
      <w:r>
        <w:t>něm lze dosáhnout pouze za předpokladu rychlého růstu podílu bioLPG na trhu. Je-li však primárním cílem snižování emisí, je třeba se dále zabývat zejména scénářem R, tedy scénářem předpokládajícím růst prodejů LPG, ideálně v</w:t>
      </w:r>
      <w:r w:rsidR="00546698">
        <w:t> </w:t>
      </w:r>
      <w:r>
        <w:t>kombinaci s</w:t>
      </w:r>
      <w:r w:rsidR="00546698">
        <w:t> </w:t>
      </w:r>
      <w:r>
        <w:t>rychlejším růstem podílu bioLPG (tedy scénář RB). Takový scénář ovšem vyžaduje zásah státu v</w:t>
      </w:r>
      <w:r w:rsidR="00546698">
        <w:t> </w:t>
      </w:r>
      <w:r>
        <w:t>podobě podpůrných opatření, ideálně ve dvou rovinách. Rychlejší podíl bioLPG na trhu může zajistit investiční a</w:t>
      </w:r>
      <w:r w:rsidR="00546698">
        <w:t> </w:t>
      </w:r>
      <w:r>
        <w:t>výrobní podpora bioLPG. Nárůst vozů na LPG v</w:t>
      </w:r>
      <w:r w:rsidR="00546698">
        <w:t> </w:t>
      </w:r>
      <w:r>
        <w:t>provozu zřejmě nelze dosáhnout motivací k</w:t>
      </w:r>
      <w:r w:rsidR="00546698">
        <w:t> </w:t>
      </w:r>
      <w:r>
        <w:t>nákupu nových vozů – tam již bylo maxima dosaženo, trh se navíc nyní potýká s</w:t>
      </w:r>
      <w:r w:rsidR="00546698">
        <w:t> </w:t>
      </w:r>
      <w:r>
        <w:t>nedostatkem těchto vozů a</w:t>
      </w:r>
      <w:r w:rsidR="00546698">
        <w:t> </w:t>
      </w:r>
      <w:r>
        <w:t>řada automobilek plynové pohony pomalu opouští. Nevyužitý potenciál je ale v</w:t>
      </w:r>
      <w:r w:rsidR="00546698">
        <w:t> </w:t>
      </w:r>
      <w:r>
        <w:t>prostoru přestaveb starších vozů na palivo LPG, přestavby navíc směřují do nižší příjmové části spotřebitelského trhu a</w:t>
      </w:r>
      <w:r w:rsidR="00546698">
        <w:t> </w:t>
      </w:r>
      <w:r>
        <w:t>aktuálně jsou (a zřejmě i</w:t>
      </w:r>
      <w:r w:rsidR="00546698">
        <w:t> </w:t>
      </w:r>
      <w:r>
        <w:t>budou) jedinou alternativou, která umožňuje snižovat emise starších vozů v</w:t>
      </w:r>
      <w:r w:rsidR="00546698">
        <w:t> </w:t>
      </w:r>
      <w:r>
        <w:t>provozu.</w:t>
      </w:r>
      <w:r>
        <w:br w:type="page"/>
      </w:r>
    </w:p>
    <w:p w14:paraId="046B0C55" w14:textId="77777777" w:rsidR="001B4719" w:rsidRPr="0050685D" w:rsidRDefault="001B4719" w:rsidP="001B4719">
      <w:pPr>
        <w:pStyle w:val="Nadpis3"/>
        <w:numPr>
          <w:ilvl w:val="2"/>
          <w:numId w:val="9"/>
        </w:numPr>
        <w:tabs>
          <w:tab w:val="left" w:pos="851"/>
          <w:tab w:val="num" w:pos="2411"/>
        </w:tabs>
        <w:ind w:left="284" w:firstLine="0"/>
        <w:jc w:val="both"/>
        <w:rPr>
          <w:szCs w:val="22"/>
        </w:rPr>
      </w:pPr>
      <w:bookmarkStart w:id="551" w:name="_Toc25084502"/>
      <w:bookmarkStart w:id="552" w:name="_Toc25136835"/>
      <w:bookmarkStart w:id="553" w:name="_Toc34295961"/>
      <w:r w:rsidRPr="0050685D">
        <w:lastRenderedPageBreak/>
        <w:t>Popis bariér a</w:t>
      </w:r>
      <w:r w:rsidR="00546698">
        <w:t> </w:t>
      </w:r>
      <w:r w:rsidRPr="0050685D">
        <w:t>omezujících faktorů, které brání naplnění predikce</w:t>
      </w:r>
      <w:bookmarkEnd w:id="544"/>
      <w:bookmarkEnd w:id="551"/>
      <w:bookmarkEnd w:id="552"/>
      <w:bookmarkEnd w:id="553"/>
    </w:p>
    <w:p w14:paraId="19C4B8BA" w14:textId="77777777" w:rsidR="001B4719" w:rsidRDefault="001B4719" w:rsidP="001B4719">
      <w:pPr>
        <w:jc w:val="both"/>
      </w:pPr>
      <w:r>
        <w:t>Mezi podstatnou bariéru a</w:t>
      </w:r>
      <w:r w:rsidR="00546698">
        <w:t> </w:t>
      </w:r>
      <w:r>
        <w:t>omezující faktor patří s</w:t>
      </w:r>
      <w:r w:rsidRPr="00166DC8">
        <w:t>labá, dokonce spíše negativní motivace automobilek vyrábět vozy s</w:t>
      </w:r>
      <w:r w:rsidR="00546698">
        <w:t> </w:t>
      </w:r>
      <w:r w:rsidRPr="00166DC8">
        <w:t>LPG pohonem. Situace se může zlepšit po změně metodiky počítající emise z</w:t>
      </w:r>
      <w:r w:rsidR="00546698">
        <w:t> </w:t>
      </w:r>
      <w:r w:rsidRPr="00166DC8">
        <w:t>nově prodávaných vozů z</w:t>
      </w:r>
      <w:r w:rsidR="00546698">
        <w:t> </w:t>
      </w:r>
      <w:r w:rsidRPr="00166DC8">
        <w:t xml:space="preserve">„tailpipe“ na „Well-to-wheel“ po roce 2023. </w:t>
      </w:r>
    </w:p>
    <w:p w14:paraId="2AEF729E" w14:textId="77777777" w:rsidR="001B4719" w:rsidRPr="00166DC8" w:rsidRDefault="001B4719" w:rsidP="001B4719">
      <w:pPr>
        <w:jc w:val="both"/>
      </w:pPr>
      <w:r w:rsidRPr="00166DC8">
        <w:t>Česká republika není schopna tuto situaci aktuálně jakkoli ovlivnit, dojde-li k</w:t>
      </w:r>
      <w:r w:rsidR="00546698">
        <w:t> </w:t>
      </w:r>
      <w:r w:rsidRPr="00166DC8">
        <w:t>jednáním na úrovni EU, měla by změnu metodiky podpořit. LPG má naštěstí výhodu v</w:t>
      </w:r>
      <w:r w:rsidR="00546698">
        <w:t> </w:t>
      </w:r>
      <w:r w:rsidRPr="00166DC8">
        <w:t>tom, že se na trh dostávají vozy v</w:t>
      </w:r>
      <w:r w:rsidR="00546698">
        <w:t> </w:t>
      </w:r>
      <w:r w:rsidRPr="00166DC8">
        <w:t>podobě přestaveb starších benzínových vozidel.</w:t>
      </w:r>
    </w:p>
    <w:p w14:paraId="3F0CCFF8" w14:textId="77777777" w:rsidR="001B4719" w:rsidRDefault="001B4719" w:rsidP="001B4719">
      <w:pPr>
        <w:pStyle w:val="Nadpis3"/>
        <w:numPr>
          <w:ilvl w:val="2"/>
          <w:numId w:val="9"/>
        </w:numPr>
        <w:tabs>
          <w:tab w:val="left" w:pos="851"/>
          <w:tab w:val="num" w:pos="2411"/>
        </w:tabs>
        <w:ind w:left="284" w:firstLine="0"/>
        <w:jc w:val="both"/>
      </w:pPr>
      <w:bookmarkStart w:id="554" w:name="_Toc19792386"/>
      <w:bookmarkStart w:id="555" w:name="_Toc25084503"/>
      <w:bookmarkStart w:id="556" w:name="_Toc25136836"/>
      <w:bookmarkStart w:id="557" w:name="_Toc34295962"/>
      <w:r>
        <w:t xml:space="preserve">Financování </w:t>
      </w:r>
      <w:r w:rsidRPr="00166DC8">
        <w:t>mobility</w:t>
      </w:r>
      <w:r>
        <w:t xml:space="preserve"> v</w:t>
      </w:r>
      <w:r w:rsidR="00546698">
        <w:t> </w:t>
      </w:r>
      <w:r>
        <w:t>oblasti LPG</w:t>
      </w:r>
      <w:bookmarkEnd w:id="554"/>
      <w:bookmarkEnd w:id="555"/>
      <w:bookmarkEnd w:id="556"/>
      <w:bookmarkEnd w:id="557"/>
    </w:p>
    <w:p w14:paraId="69933C40" w14:textId="77777777" w:rsidR="001B4719" w:rsidRDefault="001B4719" w:rsidP="001B4719">
      <w:pPr>
        <w:jc w:val="both"/>
      </w:pPr>
      <w:r>
        <w:t>LPG nebylo historicky nikdy přímo finančně podporováno. Jeho rozvoj nastal přirozeně a</w:t>
      </w:r>
      <w:r w:rsidR="00546698">
        <w:t> </w:t>
      </w:r>
      <w:r>
        <w:t>komerčně, a</w:t>
      </w:r>
      <w:r w:rsidR="00546698">
        <w:t> </w:t>
      </w:r>
      <w:r>
        <w:t>to díky několika faktorům:</w:t>
      </w:r>
    </w:p>
    <w:p w14:paraId="507B5750" w14:textId="77777777" w:rsidR="001B4719" w:rsidRDefault="001B4719" w:rsidP="001B4719">
      <w:pPr>
        <w:pStyle w:val="Odrka1"/>
        <w:jc w:val="both"/>
      </w:pPr>
      <w:r>
        <w:t>spotřební daň na LPG byla stanovena při spodní hranici sazby požadované EU (minimální sazba EU je 125 EUR/t, tj. 3 260 CZK/t (1:26), v</w:t>
      </w:r>
      <w:r w:rsidR="00546698">
        <w:t> </w:t>
      </w:r>
      <w:r>
        <w:t>ČR 3 933 CZK/t)</w:t>
      </w:r>
    </w:p>
    <w:p w14:paraId="26D17FC4" w14:textId="77777777" w:rsidR="001B4719" w:rsidRDefault="001B4719" w:rsidP="001B4719">
      <w:pPr>
        <w:pStyle w:val="Odrka1"/>
        <w:jc w:val="both"/>
      </w:pPr>
      <w:r>
        <w:t>výstavba plnící stanice LPG není (ve srovnání s</w:t>
      </w:r>
      <w:r w:rsidR="00546698">
        <w:t> </w:t>
      </w:r>
      <w:r>
        <w:t>čerpací stanicí pohonných hmot nebo CNG) finančně náročná (jde o</w:t>
      </w:r>
      <w:r w:rsidR="00546698">
        <w:t> </w:t>
      </w:r>
      <w:r>
        <w:t>částku mezi 0,5 až 1 milionem Kč)</w:t>
      </w:r>
    </w:p>
    <w:p w14:paraId="4E1F44AA" w14:textId="77777777" w:rsidR="001B4719" w:rsidRDefault="001B4719" w:rsidP="001B4719">
      <w:pPr>
        <w:pStyle w:val="Odrka1"/>
        <w:jc w:val="both"/>
      </w:pPr>
      <w:r>
        <w:t>logistika dopravy probíhá v</w:t>
      </w:r>
      <w:r w:rsidR="00546698">
        <w:t> </w:t>
      </w:r>
      <w:r>
        <w:t>podobném řetězci jako distribuce pohonných hmot, což vedlo k</w:t>
      </w:r>
      <w:r w:rsidR="00546698">
        <w:t> </w:t>
      </w:r>
      <w:r>
        <w:t>vytvoření vysoce konkurenčního dodavatelského prostředí a</w:t>
      </w:r>
      <w:r w:rsidR="00546698">
        <w:t> </w:t>
      </w:r>
      <w:r>
        <w:t>minimalizaci distributorské marže</w:t>
      </w:r>
    </w:p>
    <w:p w14:paraId="209A0C05" w14:textId="77777777" w:rsidR="001B4719" w:rsidRDefault="001B4719" w:rsidP="001B4719">
      <w:pPr>
        <w:pStyle w:val="Odrka1"/>
        <w:jc w:val="both"/>
      </w:pPr>
      <w:r>
        <w:t>nízká cena plnící stanice i</w:t>
      </w:r>
      <w:r w:rsidR="00546698">
        <w:t> </w:t>
      </w:r>
      <w:r>
        <w:t>větší počet distributorů pak společně vedly k</w:t>
      </w:r>
      <w:r w:rsidR="00546698">
        <w:t> </w:t>
      </w:r>
      <w:r>
        <w:t>nasycení trhu na straně nabídky (900 plnících stanic), což v</w:t>
      </w:r>
      <w:r w:rsidR="00546698">
        <w:t> </w:t>
      </w:r>
      <w:r>
        <w:t>důsledku znamená i</w:t>
      </w:r>
      <w:r w:rsidR="00546698">
        <w:t> </w:t>
      </w:r>
      <w:r>
        <w:t>minimalizaci marže pro čerpací stanice a</w:t>
      </w:r>
      <w:r w:rsidR="00546698">
        <w:t> </w:t>
      </w:r>
      <w:r>
        <w:t>nízkou cenu pro zákazníka</w:t>
      </w:r>
    </w:p>
    <w:p w14:paraId="50CBE29F" w14:textId="77777777" w:rsidR="001B4719" w:rsidRDefault="001B4719" w:rsidP="001B4719">
      <w:pPr>
        <w:pStyle w:val="Odrka1"/>
        <w:jc w:val="both"/>
      </w:pPr>
      <w:r>
        <w:t>dostatečně rozvinutá síť plnících stanic a</w:t>
      </w:r>
      <w:r w:rsidR="00546698">
        <w:t> </w:t>
      </w:r>
      <w:r>
        <w:t>nízká cena paliva jsou benefity motivující spotřebitele k</w:t>
      </w:r>
      <w:r w:rsidR="00546698">
        <w:t> </w:t>
      </w:r>
      <w:r>
        <w:t>přechodu k</w:t>
      </w:r>
      <w:r w:rsidR="00546698">
        <w:t> </w:t>
      </w:r>
      <w:r>
        <w:t>LPG a</w:t>
      </w:r>
      <w:r w:rsidR="00546698">
        <w:t> </w:t>
      </w:r>
      <w:r>
        <w:t>jeho dlouhodobému využívání</w:t>
      </w:r>
    </w:p>
    <w:p w14:paraId="38C1E08D" w14:textId="77777777" w:rsidR="001B4719" w:rsidRDefault="001B4719" w:rsidP="001B4719">
      <w:pPr>
        <w:spacing w:before="0" w:after="0"/>
        <w:jc w:val="both"/>
      </w:pPr>
      <w:r>
        <w:br w:type="page"/>
      </w:r>
    </w:p>
    <w:p w14:paraId="00D0658E" w14:textId="77777777" w:rsidR="001B4719" w:rsidRPr="00481FD9" w:rsidRDefault="001B4719" w:rsidP="001B4719">
      <w:pPr>
        <w:pStyle w:val="Nadpis2"/>
        <w:numPr>
          <w:ilvl w:val="1"/>
          <w:numId w:val="9"/>
        </w:numPr>
        <w:jc w:val="both"/>
      </w:pPr>
      <w:bookmarkStart w:id="558" w:name="_Toc19792387"/>
      <w:bookmarkStart w:id="559" w:name="_Toc25067664"/>
      <w:bookmarkStart w:id="560" w:name="_Toc25084504"/>
      <w:bookmarkStart w:id="561" w:name="_Toc25136837"/>
      <w:bookmarkStart w:id="562" w:name="_Toc34295963"/>
      <w:r w:rsidRPr="00481FD9">
        <w:lastRenderedPageBreak/>
        <w:t>Syntetická paliva</w:t>
      </w:r>
      <w:bookmarkEnd w:id="536"/>
      <w:bookmarkEnd w:id="537"/>
      <w:bookmarkEnd w:id="558"/>
      <w:bookmarkEnd w:id="559"/>
      <w:bookmarkEnd w:id="560"/>
      <w:bookmarkEnd w:id="561"/>
      <w:bookmarkEnd w:id="562"/>
    </w:p>
    <w:p w14:paraId="55D4B461" w14:textId="77777777" w:rsidR="001B4719" w:rsidRPr="0050685D" w:rsidRDefault="001B4719" w:rsidP="001B4719">
      <w:pPr>
        <w:jc w:val="both"/>
        <w:rPr>
          <w:noProof/>
        </w:rPr>
      </w:pPr>
      <w:r w:rsidRPr="0050685D">
        <w:t>Syntetická paliva, označovaná také „PtX“ (power-to-X) nebo „e-fuels“, jsou kapalná nebo plynná paliva určená pro použití ve vozech s</w:t>
      </w:r>
      <w:r w:rsidR="00546698">
        <w:t> </w:t>
      </w:r>
      <w:r w:rsidRPr="0050685D">
        <w:t>motorem s</w:t>
      </w:r>
      <w:r w:rsidR="00546698">
        <w:t> </w:t>
      </w:r>
      <w:r w:rsidRPr="0050685D">
        <w:t>vnitřním spalováním (ICE).</w:t>
      </w:r>
      <w:r w:rsidRPr="0050685D">
        <w:rPr>
          <w:noProof/>
        </w:rPr>
        <w:t xml:space="preserve"> </w:t>
      </w:r>
    </w:p>
    <w:p w14:paraId="5C18C521" w14:textId="77777777" w:rsidR="001B4719" w:rsidRPr="0050685D" w:rsidRDefault="001B4719" w:rsidP="001B4719">
      <w:pPr>
        <w:jc w:val="both"/>
        <w:rPr>
          <w:szCs w:val="22"/>
        </w:rPr>
      </w:pPr>
      <w:r w:rsidRPr="0050685D">
        <w:rPr>
          <w:iCs/>
          <w:szCs w:val="22"/>
        </w:rPr>
        <w:t>V oblasti dekarbonizace dopravy má velký potenciál využití tzv. syntetických paliv, při jejichž použití vzniká omezené nebo nulové množství emisí CO</w:t>
      </w:r>
      <w:r w:rsidRPr="0050685D">
        <w:rPr>
          <w:iCs/>
          <w:szCs w:val="22"/>
          <w:vertAlign w:val="subscript"/>
        </w:rPr>
        <w:t>2</w:t>
      </w:r>
      <w:r w:rsidRPr="0050685D">
        <w:rPr>
          <w:iCs/>
          <w:szCs w:val="22"/>
        </w:rPr>
        <w:t xml:space="preserve"> (viz např. pilotní projekt AUDI ve</w:t>
      </w:r>
      <w:r>
        <w:rPr>
          <w:iCs/>
          <w:szCs w:val="22"/>
        </w:rPr>
        <w:t> </w:t>
      </w:r>
      <w:r w:rsidRPr="0050685D">
        <w:rPr>
          <w:iCs/>
          <w:szCs w:val="22"/>
        </w:rPr>
        <w:t>Wertle, kde je pro výrobu zemního plynu použita solární energie, což ve výsledku znamená možnost CO</w:t>
      </w:r>
      <w:r w:rsidRPr="0050685D">
        <w:rPr>
          <w:iCs/>
          <w:szCs w:val="22"/>
          <w:vertAlign w:val="subscript"/>
        </w:rPr>
        <w:t>2</w:t>
      </w:r>
      <w:r w:rsidRPr="0050685D">
        <w:rPr>
          <w:iCs/>
          <w:szCs w:val="22"/>
        </w:rPr>
        <w:t xml:space="preserve"> neutrální jízdy konvenčním vozem, jen mírně upraveným pro jízdu na stlačený zemní plyn). Obdobně lze vyrábět také např. syntetickou naftu. Nicméně Nařízení Evropského parlamentu a</w:t>
      </w:r>
      <w:r w:rsidR="00546698">
        <w:rPr>
          <w:iCs/>
          <w:szCs w:val="22"/>
        </w:rPr>
        <w:t> </w:t>
      </w:r>
      <w:r w:rsidRPr="0050685D">
        <w:rPr>
          <w:iCs/>
          <w:szCs w:val="22"/>
        </w:rPr>
        <w:t>Rady č. 2019/631 ze dne 17. dubna 2019, stejně jako předchozí související předpisy EU, zohledňují pouze emise z</w:t>
      </w:r>
      <w:r w:rsidR="00546698">
        <w:rPr>
          <w:iCs/>
          <w:szCs w:val="22"/>
        </w:rPr>
        <w:t> </w:t>
      </w:r>
      <w:r w:rsidRPr="0050685D">
        <w:rPr>
          <w:iCs/>
          <w:szCs w:val="22"/>
        </w:rPr>
        <w:t>vozidel TtW (Tank to Wheel) a</w:t>
      </w:r>
      <w:r w:rsidR="00546698">
        <w:rPr>
          <w:iCs/>
          <w:szCs w:val="22"/>
        </w:rPr>
        <w:t> </w:t>
      </w:r>
      <w:r w:rsidRPr="0050685D">
        <w:rPr>
          <w:iCs/>
          <w:szCs w:val="22"/>
        </w:rPr>
        <w:t>nikoliv celkové emise související např. s</w:t>
      </w:r>
      <w:r w:rsidR="00546698">
        <w:rPr>
          <w:iCs/>
          <w:szCs w:val="22"/>
        </w:rPr>
        <w:t> </w:t>
      </w:r>
      <w:r w:rsidRPr="0050685D">
        <w:rPr>
          <w:iCs/>
          <w:szCs w:val="22"/>
        </w:rPr>
        <w:t>výrobou vozu nebo emisemi vz</w:t>
      </w:r>
      <w:r w:rsidR="00C12A6B">
        <w:rPr>
          <w:iCs/>
          <w:szCs w:val="22"/>
        </w:rPr>
        <w:t>nikajícími během výroby paliv WT</w:t>
      </w:r>
      <w:r w:rsidRPr="0050685D">
        <w:rPr>
          <w:iCs/>
          <w:szCs w:val="22"/>
        </w:rPr>
        <w:t>W (Well to</w:t>
      </w:r>
      <w:r>
        <w:rPr>
          <w:iCs/>
          <w:szCs w:val="22"/>
        </w:rPr>
        <w:t> </w:t>
      </w:r>
      <w:r w:rsidRPr="0050685D">
        <w:rPr>
          <w:iCs/>
          <w:szCs w:val="22"/>
        </w:rPr>
        <w:t xml:space="preserve">Wheel) nebo „Cradle to Grave“. </w:t>
      </w:r>
      <w:r w:rsidRPr="0050685D">
        <w:rPr>
          <w:b/>
          <w:bCs/>
          <w:iCs/>
          <w:szCs w:val="22"/>
        </w:rPr>
        <w:t>Výrobci ani jiní potencionální investoři tedy nejsou legislativou EU motivováni do projektů syntetických paliv investovat</w:t>
      </w:r>
      <w:r w:rsidRPr="0050685D">
        <w:rPr>
          <w:iCs/>
          <w:szCs w:val="22"/>
        </w:rPr>
        <w:t>. Tím je zcela opomíjena velmi zajímavá alternativa k</w:t>
      </w:r>
      <w:r w:rsidR="00546698">
        <w:rPr>
          <w:iCs/>
          <w:szCs w:val="22"/>
        </w:rPr>
        <w:t> </w:t>
      </w:r>
      <w:r w:rsidRPr="0050685D">
        <w:rPr>
          <w:iCs/>
          <w:szCs w:val="22"/>
        </w:rPr>
        <w:t>v</w:t>
      </w:r>
      <w:r>
        <w:rPr>
          <w:iCs/>
          <w:szCs w:val="22"/>
        </w:rPr>
        <w:t> </w:t>
      </w:r>
      <w:r w:rsidRPr="0050685D">
        <w:rPr>
          <w:iCs/>
          <w:szCs w:val="22"/>
        </w:rPr>
        <w:t>současnosti preferované dekarbonizaci pomocí bateriových vozů (které jsou v</w:t>
      </w:r>
      <w:r w:rsidR="00546698">
        <w:rPr>
          <w:iCs/>
          <w:szCs w:val="22"/>
        </w:rPr>
        <w:t> </w:t>
      </w:r>
      <w:r w:rsidRPr="0050685D">
        <w:rPr>
          <w:iCs/>
          <w:szCs w:val="22"/>
        </w:rPr>
        <w:t>logice legislativy EU počítány jako zcela bezemisní) která by pomocí syntetických paliv umožnila postupně dekarbonizovat osobní i</w:t>
      </w:r>
      <w:r w:rsidR="00546698">
        <w:rPr>
          <w:iCs/>
          <w:szCs w:val="22"/>
        </w:rPr>
        <w:t> </w:t>
      </w:r>
      <w:r w:rsidRPr="0050685D">
        <w:rPr>
          <w:iCs/>
          <w:szCs w:val="22"/>
        </w:rPr>
        <w:t>komerční dopravu s</w:t>
      </w:r>
      <w:r w:rsidR="00546698">
        <w:rPr>
          <w:iCs/>
          <w:szCs w:val="22"/>
        </w:rPr>
        <w:t> </w:t>
      </w:r>
      <w:r w:rsidRPr="0050685D">
        <w:rPr>
          <w:iCs/>
          <w:szCs w:val="22"/>
        </w:rPr>
        <w:t>využitím konvenčních technologií umožňujících výrazné snížení rizik revolučního přechodu na jiný druh pohonů, včetně vozového parku, který je již dnes na silnicích. V</w:t>
      </w:r>
      <w:r w:rsidR="00546698">
        <w:rPr>
          <w:iCs/>
          <w:szCs w:val="22"/>
        </w:rPr>
        <w:t> </w:t>
      </w:r>
      <w:r w:rsidRPr="0050685D">
        <w:rPr>
          <w:iCs/>
          <w:szCs w:val="22"/>
        </w:rPr>
        <w:t>roce 2023 má být finalizována revize výše uvedeného nařízení a</w:t>
      </w:r>
      <w:r w:rsidR="00546698">
        <w:rPr>
          <w:iCs/>
          <w:szCs w:val="22"/>
        </w:rPr>
        <w:t> </w:t>
      </w:r>
      <w:r w:rsidRPr="0050685D">
        <w:rPr>
          <w:iCs/>
          <w:szCs w:val="22"/>
        </w:rPr>
        <w:t>lze předpokládat, že otázka zohlednění tzv. syntetických paliv v</w:t>
      </w:r>
      <w:r w:rsidR="00546698">
        <w:rPr>
          <w:iCs/>
          <w:szCs w:val="22"/>
        </w:rPr>
        <w:t> </w:t>
      </w:r>
      <w:r w:rsidRPr="0050685D">
        <w:rPr>
          <w:iCs/>
          <w:szCs w:val="22"/>
        </w:rPr>
        <w:t>legislativě EU bude patřit mezi jedno z</w:t>
      </w:r>
      <w:r w:rsidR="00546698">
        <w:rPr>
          <w:iCs/>
          <w:szCs w:val="22"/>
        </w:rPr>
        <w:t> </w:t>
      </w:r>
      <w:r w:rsidRPr="0050685D">
        <w:rPr>
          <w:iCs/>
          <w:szCs w:val="22"/>
        </w:rPr>
        <w:t xml:space="preserve">klíčových témat. </w:t>
      </w:r>
      <w:r w:rsidRPr="0050685D">
        <w:rPr>
          <w:szCs w:val="22"/>
        </w:rPr>
        <w:t>Stejný princip nulové motivace výrobců automobilů z</w:t>
      </w:r>
      <w:r w:rsidR="00546698">
        <w:rPr>
          <w:szCs w:val="22"/>
        </w:rPr>
        <w:t> </w:t>
      </w:r>
      <w:r w:rsidRPr="0050685D">
        <w:rPr>
          <w:szCs w:val="22"/>
        </w:rPr>
        <w:t>pohledu předpisů EU platí i</w:t>
      </w:r>
      <w:r w:rsidR="00546698">
        <w:rPr>
          <w:szCs w:val="22"/>
        </w:rPr>
        <w:t> </w:t>
      </w:r>
      <w:r w:rsidRPr="0050685D">
        <w:rPr>
          <w:szCs w:val="22"/>
        </w:rPr>
        <w:t>pro využití fosilních paliv s</w:t>
      </w:r>
      <w:r w:rsidR="00546698">
        <w:rPr>
          <w:szCs w:val="22"/>
        </w:rPr>
        <w:t> </w:t>
      </w:r>
      <w:r w:rsidRPr="0050685D">
        <w:rPr>
          <w:szCs w:val="22"/>
        </w:rPr>
        <w:t>nižší následnou produkcí CO</w:t>
      </w:r>
      <w:r w:rsidRPr="0050685D">
        <w:rPr>
          <w:szCs w:val="22"/>
          <w:vertAlign w:val="subscript"/>
        </w:rPr>
        <w:t>2</w:t>
      </w:r>
      <w:r w:rsidRPr="0050685D">
        <w:rPr>
          <w:szCs w:val="22"/>
        </w:rPr>
        <w:t xml:space="preserve"> a</w:t>
      </w:r>
      <w:r w:rsidR="00546698">
        <w:rPr>
          <w:szCs w:val="22"/>
        </w:rPr>
        <w:t> </w:t>
      </w:r>
      <w:r w:rsidRPr="0050685D">
        <w:rPr>
          <w:szCs w:val="22"/>
        </w:rPr>
        <w:t>obnovitelných biopaliv. U</w:t>
      </w:r>
      <w:r w:rsidR="00546698">
        <w:rPr>
          <w:szCs w:val="22"/>
        </w:rPr>
        <w:t> </w:t>
      </w:r>
      <w:r w:rsidRPr="0050685D">
        <w:rPr>
          <w:szCs w:val="22"/>
        </w:rPr>
        <w:t>syntetických paliv navíc nedochází k</w:t>
      </w:r>
      <w:r w:rsidR="00546698">
        <w:rPr>
          <w:szCs w:val="22"/>
        </w:rPr>
        <w:t> </w:t>
      </w:r>
      <w:r w:rsidRPr="0050685D">
        <w:rPr>
          <w:szCs w:val="22"/>
        </w:rPr>
        <w:t>přímé zátěži životního prostředí potřebou využití zemědělské půdy a</w:t>
      </w:r>
      <w:r w:rsidR="00546698">
        <w:rPr>
          <w:szCs w:val="22"/>
        </w:rPr>
        <w:t> </w:t>
      </w:r>
      <w:r w:rsidRPr="0050685D">
        <w:rPr>
          <w:szCs w:val="22"/>
        </w:rPr>
        <w:t>k</w:t>
      </w:r>
      <w:r>
        <w:rPr>
          <w:szCs w:val="22"/>
        </w:rPr>
        <w:t> </w:t>
      </w:r>
      <w:r w:rsidRPr="0050685D">
        <w:rPr>
          <w:szCs w:val="22"/>
        </w:rPr>
        <w:t>omezení z</w:t>
      </w:r>
      <w:r w:rsidR="00546698">
        <w:rPr>
          <w:szCs w:val="22"/>
        </w:rPr>
        <w:t> </w:t>
      </w:r>
      <w:r w:rsidRPr="0050685D">
        <w:rPr>
          <w:szCs w:val="22"/>
        </w:rPr>
        <w:t>důvodu nedostupnosti jakékoliv druhotné suroviny nezbytné pro výrobu biopaliv. Jde tedy o</w:t>
      </w:r>
      <w:r w:rsidR="00546698">
        <w:rPr>
          <w:szCs w:val="22"/>
        </w:rPr>
        <w:t> </w:t>
      </w:r>
      <w:r w:rsidRPr="0050685D">
        <w:rPr>
          <w:szCs w:val="22"/>
        </w:rPr>
        <w:t>zásadní vstup do principu technologické neutrality, protože jsou výrobci motivováni pouze k</w:t>
      </w:r>
      <w:r w:rsidR="00546698">
        <w:rPr>
          <w:szCs w:val="22"/>
        </w:rPr>
        <w:t> </w:t>
      </w:r>
      <w:r w:rsidRPr="0050685D">
        <w:rPr>
          <w:szCs w:val="22"/>
        </w:rPr>
        <w:t>technologiím, které neprodukují CO</w:t>
      </w:r>
      <w:r w:rsidRPr="0050685D">
        <w:rPr>
          <w:szCs w:val="22"/>
          <w:vertAlign w:val="subscript"/>
        </w:rPr>
        <w:t>2</w:t>
      </w:r>
      <w:r w:rsidRPr="0050685D">
        <w:rPr>
          <w:szCs w:val="22"/>
        </w:rPr>
        <w:t xml:space="preserve"> při vlastní jízdě. </w:t>
      </w:r>
    </w:p>
    <w:p w14:paraId="3D4F6AC4" w14:textId="77777777" w:rsidR="001B4719" w:rsidRPr="00481FD9" w:rsidRDefault="001B4719" w:rsidP="001B4719">
      <w:pPr>
        <w:jc w:val="both"/>
        <w:rPr>
          <w:b/>
        </w:rPr>
      </w:pPr>
      <w:r w:rsidRPr="00481FD9">
        <w:rPr>
          <w:b/>
          <w:noProof/>
        </w:rPr>
        <w:t>Přínos syntetických paliv</w:t>
      </w:r>
    </w:p>
    <w:p w14:paraId="2ABFAAA2" w14:textId="77777777" w:rsidR="001B4719" w:rsidRPr="0050685D" w:rsidRDefault="001B4719" w:rsidP="001B4719">
      <w:pPr>
        <w:jc w:val="both"/>
      </w:pPr>
      <w:r w:rsidRPr="0050685D">
        <w:t>Hlavním důvodem, proč technologie syntetických paliv vznikla a</w:t>
      </w:r>
      <w:r w:rsidR="00546698">
        <w:t> </w:t>
      </w:r>
      <w:r w:rsidRPr="0050685D">
        <w:t>je dále vyvíjena, je skutečnost, že dekarbonizace dopravy není myslitelná bez dalšího využívání kapalných paliv. Elektřina ze zásuvky má, a</w:t>
      </w:r>
      <w:r w:rsidR="00546698">
        <w:t> </w:t>
      </w:r>
      <w:r w:rsidRPr="0050685D">
        <w:t>ještě dlouhou dobu bude mít, zásadní technologická omezení zejména v</w:t>
      </w:r>
      <w:r w:rsidR="00546698">
        <w:t> </w:t>
      </w:r>
      <w:r w:rsidRPr="0050685D">
        <w:t>těžké nákladní, lodní a</w:t>
      </w:r>
      <w:r w:rsidR="00546698">
        <w:t> </w:t>
      </w:r>
      <w:r w:rsidRPr="0050685D">
        <w:t>letecké přepravě. Pro tyto typy přepravy jsou kapalná nebo plynná paliva nezbytností. Stejně tak je nutno počítat s</w:t>
      </w:r>
      <w:r w:rsidR="00546698">
        <w:t> </w:t>
      </w:r>
      <w:r w:rsidRPr="0050685D">
        <w:t>potřebou a</w:t>
      </w:r>
      <w:r w:rsidR="00546698">
        <w:t> </w:t>
      </w:r>
      <w:r w:rsidRPr="0050685D">
        <w:t>nasazením dlouhodobě skladovatelných zdrojů energie například u</w:t>
      </w:r>
      <w:r w:rsidR="00546698">
        <w:t> </w:t>
      </w:r>
      <w:r w:rsidRPr="0050685D">
        <w:t>vozidel armády nebo integrovaného záchranného systému. Z</w:t>
      </w:r>
      <w:r w:rsidR="00546698">
        <w:t> </w:t>
      </w:r>
      <w:r w:rsidRPr="0050685D">
        <w:t>krátkodobějšího hlediska je obrovským přínosem syntetických paliv to, že jsou plně kompatibilní (libovolně mísitelná) s</w:t>
      </w:r>
      <w:r w:rsidR="00546698">
        <w:t> </w:t>
      </w:r>
      <w:r w:rsidRPr="0050685D">
        <w:t>konvenčními fosilními zdroji. Nevyvolávají tak naprosto žádné náklady na rozvoj distribuční infrastruktury. Výhodou také je, že ani z</w:t>
      </w:r>
      <w:r w:rsidR="00546698">
        <w:t> </w:t>
      </w:r>
      <w:r w:rsidRPr="0050685D">
        <w:t>pohledu konečného zákazníka (řidiče lehkého osobního vozu) nejde o</w:t>
      </w:r>
      <w:r w:rsidR="00546698">
        <w:t> </w:t>
      </w:r>
      <w:r w:rsidRPr="0050685D">
        <w:t>žádnou změnu – do stejného vozu u</w:t>
      </w:r>
      <w:r w:rsidR="00546698">
        <w:t> </w:t>
      </w:r>
      <w:r w:rsidRPr="0050685D">
        <w:t>stejné pumpy tankuje chemicky a</w:t>
      </w:r>
      <w:r w:rsidR="00546698">
        <w:t> </w:t>
      </w:r>
      <w:r w:rsidRPr="0050685D">
        <w:t>fyzikálně stejné palivo. Přitom právě odpor části veřejnosti proti revolučním změnám může být jednou z</w:t>
      </w:r>
      <w:r w:rsidR="00546698">
        <w:t> </w:t>
      </w:r>
      <w:r w:rsidRPr="0050685D">
        <w:t>klíčových komplikací rychlejší dekarbonizace dopravy.</w:t>
      </w:r>
    </w:p>
    <w:p w14:paraId="1601E2FE" w14:textId="77777777" w:rsidR="001B4719" w:rsidRPr="0050685D" w:rsidRDefault="001B4719" w:rsidP="001B4719">
      <w:pPr>
        <w:jc w:val="both"/>
      </w:pPr>
      <w:r w:rsidRPr="0050685D">
        <w:t>Podle studií, které se zabývaly různými scénáři dekarbonizace dopravy (např. Ricardo: Impact Analysis of Mass EV Adoption and Low Carbon Intensity Fuels Scenarios) se ukazuje, že</w:t>
      </w:r>
      <w:r>
        <w:t> </w:t>
      </w:r>
      <w:r w:rsidRPr="0050685D">
        <w:t>pomalejší proces elektrifikace a</w:t>
      </w:r>
      <w:r w:rsidR="00546698">
        <w:t> </w:t>
      </w:r>
      <w:r w:rsidRPr="0050685D">
        <w:t>větší nasazení syntetických paliv a</w:t>
      </w:r>
      <w:r w:rsidR="00546698">
        <w:t> </w:t>
      </w:r>
      <w:r w:rsidRPr="0050685D">
        <w:t>biopaliv vyšších generací je ve srovnání s</w:t>
      </w:r>
      <w:r w:rsidR="00546698">
        <w:t> </w:t>
      </w:r>
      <w:r w:rsidRPr="0050685D">
        <w:t>rychlou elektrifikací výrazně ekonomičtější a</w:t>
      </w:r>
      <w:r w:rsidR="00546698">
        <w:t> </w:t>
      </w:r>
      <w:r w:rsidRPr="0050685D">
        <w:t>přináší rychlejší a</w:t>
      </w:r>
      <w:r w:rsidR="00546698">
        <w:t> </w:t>
      </w:r>
      <w:r w:rsidRPr="0050685D">
        <w:t>vyšší emisní úspory. Syntetická paliva tak mohou v</w:t>
      </w:r>
      <w:r w:rsidR="00546698">
        <w:t> </w:t>
      </w:r>
      <w:r w:rsidRPr="0050685D">
        <w:t>blízké budoucnosti sehrát při plnění závěrů COP21 klíčovou roli.</w:t>
      </w:r>
    </w:p>
    <w:p w14:paraId="616DF174" w14:textId="77777777" w:rsidR="001B4719" w:rsidRDefault="001B4719" w:rsidP="001B4719">
      <w:pPr>
        <w:spacing w:before="0" w:after="0"/>
        <w:jc w:val="both"/>
        <w:rPr>
          <w:b/>
          <w:noProof/>
        </w:rPr>
      </w:pPr>
      <w:r>
        <w:rPr>
          <w:b/>
          <w:noProof/>
        </w:rPr>
        <w:br w:type="page"/>
      </w:r>
    </w:p>
    <w:p w14:paraId="51D4DE69" w14:textId="77777777" w:rsidR="001B4719" w:rsidRPr="00481FD9" w:rsidRDefault="001B4719" w:rsidP="001B4719">
      <w:pPr>
        <w:jc w:val="both"/>
        <w:rPr>
          <w:b/>
          <w:noProof/>
        </w:rPr>
      </w:pPr>
      <w:r w:rsidRPr="00481FD9">
        <w:rPr>
          <w:b/>
          <w:noProof/>
        </w:rPr>
        <w:lastRenderedPageBreak/>
        <w:t>Popis výroby syntetických paliv</w:t>
      </w:r>
    </w:p>
    <w:p w14:paraId="6E6531DE" w14:textId="77777777" w:rsidR="006A06F0" w:rsidRPr="006A06F0" w:rsidRDefault="001B4719" w:rsidP="006A06F0">
      <w:pPr>
        <w:jc w:val="both"/>
        <w:rPr>
          <w:noProof/>
        </w:rPr>
      </w:pPr>
      <w:r w:rsidRPr="0050685D">
        <w:rPr>
          <w:noProof/>
        </w:rPr>
        <w:t>Výhodou níže popisované technologie je, že může být využita v</w:t>
      </w:r>
      <w:r w:rsidR="00546698">
        <w:rPr>
          <w:noProof/>
        </w:rPr>
        <w:t> </w:t>
      </w:r>
      <w:r w:rsidRPr="0050685D">
        <w:rPr>
          <w:noProof/>
        </w:rPr>
        <w:t>malých decentralizovaných výrobnách. Tím se snižují náklady na vstupy na jedné straně a</w:t>
      </w:r>
      <w:r w:rsidR="00546698">
        <w:rPr>
          <w:noProof/>
        </w:rPr>
        <w:t> </w:t>
      </w:r>
      <w:r w:rsidRPr="0050685D">
        <w:rPr>
          <w:noProof/>
        </w:rPr>
        <w:t>na distribuci na straně druhé.</w:t>
      </w:r>
    </w:p>
    <w:p w14:paraId="3B36F5AE" w14:textId="77777777" w:rsidR="006A06F0" w:rsidRDefault="006A06F0" w:rsidP="006A06F0">
      <w:pPr>
        <w:pStyle w:val="Titulek"/>
        <w:keepNext/>
        <w:jc w:val="both"/>
      </w:pPr>
      <w:bookmarkStart w:id="563" w:name="_Toc25230434"/>
      <w:r>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27</w:t>
      </w:r>
      <w:r w:rsidR="001614BC">
        <w:rPr>
          <w:noProof/>
        </w:rPr>
        <w:fldChar w:fldCharType="end"/>
      </w:r>
      <w:r w:rsidRPr="006A06F0">
        <w:t xml:space="preserve"> </w:t>
      </w:r>
      <w:r w:rsidRPr="00481FD9">
        <w:t>Schéma výroby syntetických paliv</w:t>
      </w:r>
      <w:bookmarkEnd w:id="563"/>
    </w:p>
    <w:p w14:paraId="467BDA92"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53004248" wp14:editId="4BFBB3B9">
            <wp:extent cx="5756910" cy="2684780"/>
            <wp:effectExtent l="0" t="0" r="0" b="0"/>
            <wp:docPr id="3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hema efuels.pd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56910" cy="2684780"/>
                    </a:xfrm>
                    <a:prstGeom prst="rect">
                      <a:avLst/>
                    </a:prstGeom>
                  </pic:spPr>
                </pic:pic>
              </a:graphicData>
            </a:graphic>
          </wp:inline>
        </w:drawing>
      </w:r>
    </w:p>
    <w:p w14:paraId="187CDC06" w14:textId="77777777" w:rsidR="001B4719" w:rsidRPr="0050685D" w:rsidRDefault="001B4719" w:rsidP="001B4719">
      <w:pPr>
        <w:jc w:val="both"/>
      </w:pPr>
      <w:r w:rsidRPr="0050685D">
        <w:t>Zdroj: SČS – Unie nezávislých petrolejářů</w:t>
      </w:r>
    </w:p>
    <w:p w14:paraId="09118283" w14:textId="77777777" w:rsidR="001B4719" w:rsidRPr="0050685D" w:rsidRDefault="001B4719" w:rsidP="001B4719">
      <w:pPr>
        <w:jc w:val="both"/>
      </w:pPr>
      <w:r w:rsidRPr="0050685D">
        <w:t>Primárním energetickým vstupem je elektřina. Samozřejmě je možno využívat jako zdroj elektřinu ze sítě. Úspory emisí proti běžným palivům pak závisí na složení energetického mixu. Elektrolýzou vody je získáván čistý vodík.</w:t>
      </w:r>
    </w:p>
    <w:p w14:paraId="7FC89522" w14:textId="77777777" w:rsidR="001B4719" w:rsidRPr="0050685D" w:rsidRDefault="001B4719" w:rsidP="001B4719">
      <w:pPr>
        <w:jc w:val="both"/>
      </w:pPr>
      <w:r w:rsidRPr="0050685D">
        <w:t>Druhou vstupní surovinou je kysličník uhličitý (CO</w:t>
      </w:r>
      <w:r w:rsidRPr="0050685D">
        <w:rPr>
          <w:vertAlign w:val="subscript"/>
        </w:rPr>
        <w:t>2</w:t>
      </w:r>
      <w:r w:rsidRPr="0050685D">
        <w:t>). Může jít jak o</w:t>
      </w:r>
      <w:r w:rsidR="00546698">
        <w:t> </w:t>
      </w:r>
      <w:r w:rsidRPr="0050685D">
        <w:t>vzdušný CO</w:t>
      </w:r>
      <w:r w:rsidRPr="0050685D">
        <w:rPr>
          <w:vertAlign w:val="subscript"/>
        </w:rPr>
        <w:t xml:space="preserve">2 </w:t>
      </w:r>
      <w:r w:rsidRPr="0050685D">
        <w:t>(získáván z</w:t>
      </w:r>
      <w:r w:rsidR="00546698">
        <w:t> </w:t>
      </w:r>
      <w:r w:rsidRPr="0050685D">
        <w:t>okolního prostředí) nebo o</w:t>
      </w:r>
      <w:r w:rsidR="00546698">
        <w:t> </w:t>
      </w:r>
      <w:r w:rsidRPr="0050685D">
        <w:t>odpadní produkt z</w:t>
      </w:r>
      <w:r w:rsidR="00546698">
        <w:t> </w:t>
      </w:r>
      <w:r w:rsidRPr="0050685D">
        <w:t>jiné technologie. V</w:t>
      </w:r>
      <w:r w:rsidR="00546698">
        <w:t> </w:t>
      </w:r>
      <w:r w:rsidRPr="0050685D">
        <w:t>takovém případě se opět projevuje výhoda decentralizované výroby, výrobní jednotka může být umístěna přímo u</w:t>
      </w:r>
      <w:r w:rsidR="00546698">
        <w:t> </w:t>
      </w:r>
      <w:r w:rsidRPr="0050685D">
        <w:t>zdroje CO</w:t>
      </w:r>
      <w:r w:rsidRPr="0050685D">
        <w:rPr>
          <w:vertAlign w:val="subscript"/>
        </w:rPr>
        <w:t>2</w:t>
      </w:r>
      <w:r w:rsidRPr="0050685D">
        <w:t>.</w:t>
      </w:r>
    </w:p>
    <w:p w14:paraId="4D0E265F" w14:textId="77777777" w:rsidR="001B4719" w:rsidRPr="0050685D" w:rsidRDefault="001B4719" w:rsidP="001B4719">
      <w:pPr>
        <w:jc w:val="both"/>
      </w:pPr>
      <w:r w:rsidRPr="0050685D">
        <w:t>Syntézou H</w:t>
      </w:r>
      <w:r w:rsidRPr="0050685D">
        <w:rPr>
          <w:vertAlign w:val="subscript"/>
        </w:rPr>
        <w:t>2</w:t>
      </w:r>
      <w:r w:rsidRPr="0050685D">
        <w:t xml:space="preserve"> a</w:t>
      </w:r>
      <w:r w:rsidR="00546698">
        <w:t> </w:t>
      </w:r>
      <w:r w:rsidRPr="0050685D">
        <w:t>CO</w:t>
      </w:r>
      <w:r w:rsidRPr="0050685D">
        <w:rPr>
          <w:vertAlign w:val="subscript"/>
        </w:rPr>
        <w:t xml:space="preserve">2 </w:t>
      </w:r>
      <w:r w:rsidRPr="0050685D">
        <w:t>(</w:t>
      </w:r>
      <w:r>
        <w:t>metan</w:t>
      </w:r>
      <w:r w:rsidRPr="0050685D">
        <w:t xml:space="preserve">izací) je získáván čistý </w:t>
      </w:r>
      <w:r>
        <w:t>metan</w:t>
      </w:r>
      <w:r w:rsidRPr="0050685D">
        <w:t xml:space="preserve"> (e-</w:t>
      </w:r>
      <w:r>
        <w:t>metan</w:t>
      </w:r>
      <w:r w:rsidRPr="0050685D">
        <w:t>). Ten může být přímo využíván (tankování / vtláčení do sítě) nebo dále zpracován.</w:t>
      </w:r>
    </w:p>
    <w:p w14:paraId="32E2EF71" w14:textId="77777777" w:rsidR="001B4719" w:rsidRPr="0050685D" w:rsidRDefault="001B4719" w:rsidP="001B4719">
      <w:pPr>
        <w:jc w:val="both"/>
      </w:pPr>
      <w:r w:rsidRPr="0050685D">
        <w:t>V případě dalšího zpracování pokračuje e-</w:t>
      </w:r>
      <w:r>
        <w:t>metan</w:t>
      </w:r>
      <w:r w:rsidRPr="0050685D">
        <w:t xml:space="preserve"> do Fischer-Tropschova reaktoru, kde je z</w:t>
      </w:r>
      <w:r w:rsidR="00546698">
        <w:t> </w:t>
      </w:r>
      <w:r w:rsidRPr="0050685D">
        <w:t>něj dále vyráběn komplikovanější uhlovodík. Podle nastavení jednotky může jít o</w:t>
      </w:r>
      <w:r w:rsidR="00546698">
        <w:t> </w:t>
      </w:r>
      <w:r w:rsidRPr="0050685D">
        <w:t>e-LPG, e-diesel, e-benzín.</w:t>
      </w:r>
    </w:p>
    <w:p w14:paraId="47088F3A" w14:textId="77777777" w:rsidR="001B4719" w:rsidRPr="0050685D" w:rsidRDefault="001B4719" w:rsidP="001B4719">
      <w:pPr>
        <w:jc w:val="both"/>
      </w:pPr>
      <w:r w:rsidRPr="0050685D">
        <w:t>Koncept e-paliv je primárně založen na „čistých“ vstupech, tedy na produkci elektřiny z</w:t>
      </w:r>
      <w:r w:rsidR="00546698">
        <w:t> </w:t>
      </w:r>
      <w:r w:rsidRPr="0050685D">
        <w:t>obnovitelného zdroje. V</w:t>
      </w:r>
      <w:r w:rsidR="00546698">
        <w:t> </w:t>
      </w:r>
      <w:r w:rsidRPr="0050685D">
        <w:t>případě vhodného umístění jednotky může jít i</w:t>
      </w:r>
      <w:r w:rsidR="00546698">
        <w:t> </w:t>
      </w:r>
      <w:r w:rsidRPr="0050685D">
        <w:t>o</w:t>
      </w:r>
      <w:r>
        <w:t> </w:t>
      </w:r>
      <w:r w:rsidRPr="0050685D">
        <w:t>vlastní čistý zdroj (větrná energie, solární zdroj apod.). Zajímavou alternativou je ale také využívání přebytků v</w:t>
      </w:r>
      <w:r w:rsidR="00546698">
        <w:t> </w:t>
      </w:r>
      <w:r w:rsidRPr="0050685D">
        <w:t>síti – v</w:t>
      </w:r>
      <w:r w:rsidR="00546698">
        <w:t> </w:t>
      </w:r>
      <w:r w:rsidRPr="0050685D">
        <w:t>energetickém systému založeném na obnovitelných zdrojích dochází ke ztrátě až 30</w:t>
      </w:r>
      <w:r>
        <w:t> </w:t>
      </w:r>
      <w:r w:rsidRPr="0050685D">
        <w:t>% vyrobené energie. Pouhé využívání přebytků v</w:t>
      </w:r>
      <w:r w:rsidR="00546698">
        <w:t> </w:t>
      </w:r>
      <w:r w:rsidRPr="0050685D">
        <w:t>síti má sice dopad na kapacitu a</w:t>
      </w:r>
      <w:r w:rsidR="00546698">
        <w:t> </w:t>
      </w:r>
      <w:r w:rsidRPr="0050685D">
        <w:t>ekonomiku výroby, ale výrobní jednotku lze nastavit libovolně, a</w:t>
      </w:r>
      <w:r w:rsidR="00546698">
        <w:t> </w:t>
      </w:r>
      <w:r w:rsidRPr="0050685D">
        <w:t>tak upřednostnit vstupní náklady nebo</w:t>
      </w:r>
      <w:r>
        <w:t> </w:t>
      </w:r>
      <w:r w:rsidRPr="0050685D">
        <w:t>výrobní kapacitu podle aktuálních možností a</w:t>
      </w:r>
      <w:r w:rsidR="00546698">
        <w:t> </w:t>
      </w:r>
      <w:r w:rsidRPr="0050685D">
        <w:t>potřeby.</w:t>
      </w:r>
    </w:p>
    <w:p w14:paraId="2E6B815C" w14:textId="77777777" w:rsidR="001B4719" w:rsidRPr="00481FD9" w:rsidRDefault="001B4719" w:rsidP="001B4719">
      <w:pPr>
        <w:jc w:val="both"/>
        <w:rPr>
          <w:b/>
          <w:noProof/>
        </w:rPr>
      </w:pPr>
      <w:r w:rsidRPr="00481FD9">
        <w:rPr>
          <w:b/>
          <w:noProof/>
        </w:rPr>
        <w:t>Výhody a</w:t>
      </w:r>
      <w:r w:rsidR="00546698">
        <w:rPr>
          <w:b/>
          <w:noProof/>
        </w:rPr>
        <w:t> </w:t>
      </w:r>
      <w:r w:rsidRPr="00481FD9">
        <w:rPr>
          <w:b/>
          <w:noProof/>
        </w:rPr>
        <w:t>nevýhody</w:t>
      </w:r>
    </w:p>
    <w:p w14:paraId="6D4E5F5D" w14:textId="77777777" w:rsidR="001B4719" w:rsidRPr="0050685D" w:rsidRDefault="001B4719" w:rsidP="001B4719">
      <w:pPr>
        <w:jc w:val="both"/>
      </w:pPr>
      <w:r w:rsidRPr="0050685D">
        <w:t>Popsaná technologie má řadu výhod a</w:t>
      </w:r>
      <w:r w:rsidR="00546698">
        <w:t> </w:t>
      </w:r>
      <w:r w:rsidRPr="0050685D">
        <w:t>samozřejmě i</w:t>
      </w:r>
      <w:r w:rsidR="00546698">
        <w:t> </w:t>
      </w:r>
      <w:r w:rsidRPr="0050685D">
        <w:t>nevýhody. Mezi jednoznačné výhody patří již zmíněná možnost decentralizované výroby, tedy instalace jednotky v</w:t>
      </w:r>
      <w:r w:rsidR="00546698">
        <w:t> </w:t>
      </w:r>
      <w:r w:rsidRPr="0050685D">
        <w:t>místě, kde je k</w:t>
      </w:r>
      <w:r w:rsidR="00546698">
        <w:t> </w:t>
      </w:r>
      <w:r w:rsidRPr="0050685D">
        <w:t>dispozici odpadní CO</w:t>
      </w:r>
      <w:r w:rsidRPr="0050685D">
        <w:rPr>
          <w:vertAlign w:val="subscript"/>
        </w:rPr>
        <w:t>2</w:t>
      </w:r>
      <w:r w:rsidRPr="0050685D">
        <w:t>. Další výhodou je možnost využívání přebytků elektrické energie v</w:t>
      </w:r>
      <w:r w:rsidR="00546698">
        <w:t> </w:t>
      </w:r>
      <w:r w:rsidRPr="0050685D">
        <w:t>síti. Obrovskou výhodou jsou nulové náklady na budování nové distribuční sítě a</w:t>
      </w:r>
      <w:r w:rsidR="00546698">
        <w:t> </w:t>
      </w:r>
      <w:r w:rsidRPr="0050685D">
        <w:t>okamžitá možnost využití paliva ve vozech, které jsou aktuálně v</w:t>
      </w:r>
      <w:r w:rsidR="00546698">
        <w:t> </w:t>
      </w:r>
      <w:r w:rsidRPr="0050685D">
        <w:t>provozu. Nevýhodou je v</w:t>
      </w:r>
      <w:r w:rsidR="00546698">
        <w:t> </w:t>
      </w:r>
      <w:r w:rsidRPr="0050685D">
        <w:t>tuto chvíli poměrně nákladná technologie, tak tomu ale je v</w:t>
      </w:r>
      <w:r w:rsidR="00546698">
        <w:t> </w:t>
      </w:r>
      <w:r w:rsidRPr="0050685D">
        <w:t>podstatě u</w:t>
      </w:r>
      <w:r w:rsidR="00546698">
        <w:t> </w:t>
      </w:r>
      <w:r w:rsidRPr="0050685D">
        <w:t>všech známých alternativních technologií, majících ambice nahradit fosilní paliva v</w:t>
      </w:r>
      <w:r w:rsidR="00546698">
        <w:t> </w:t>
      </w:r>
      <w:r w:rsidRPr="0050685D">
        <w:t>dopravě. Z</w:t>
      </w:r>
      <w:r w:rsidR="00546698">
        <w:t> </w:t>
      </w:r>
      <w:r w:rsidRPr="0050685D">
        <w:t>výrobního schématu je také patrné, že ve srovnání s</w:t>
      </w:r>
      <w:r w:rsidR="00546698">
        <w:t> </w:t>
      </w:r>
      <w:r w:rsidRPr="0050685D">
        <w:t xml:space="preserve">vodíkem jako přenašečem energie má syntetické palivo nižší přímou účinnost. Tato nevýhoda je vyvažována neexistujícími náklady na rozvoj distribuční infrastruktury, menšími bezpečnostními riziky při </w:t>
      </w:r>
      <w:r w:rsidRPr="0050685D">
        <w:lastRenderedPageBreak/>
        <w:t>přepravě finálních produktů a</w:t>
      </w:r>
      <w:r w:rsidR="00546698">
        <w:t> </w:t>
      </w:r>
      <w:r w:rsidRPr="0050685D">
        <w:t>snadnou, levnou a</w:t>
      </w:r>
      <w:r w:rsidR="00546698">
        <w:t> </w:t>
      </w:r>
      <w:r w:rsidRPr="0050685D">
        <w:t>dlouhodobou skladovatelností vyráběného produktu.</w:t>
      </w:r>
    </w:p>
    <w:p w14:paraId="72AD74C8" w14:textId="77777777" w:rsidR="001B4719" w:rsidRPr="00A520A1" w:rsidRDefault="001B4719" w:rsidP="001B4719">
      <w:pPr>
        <w:jc w:val="both"/>
        <w:rPr>
          <w:b/>
          <w:bCs/>
          <w:noProof/>
        </w:rPr>
      </w:pPr>
      <w:r w:rsidRPr="00A520A1">
        <w:rPr>
          <w:b/>
          <w:bCs/>
          <w:noProof/>
        </w:rPr>
        <w:t>Úspory emisí</w:t>
      </w:r>
    </w:p>
    <w:p w14:paraId="0366228F" w14:textId="77777777" w:rsidR="001B4719" w:rsidRPr="0050685D" w:rsidRDefault="001B4719" w:rsidP="001B4719">
      <w:pPr>
        <w:jc w:val="both"/>
      </w:pPr>
      <w:r w:rsidRPr="0050685D">
        <w:t>V ideálním případě jsou syntetická paliva emisně neutrálním produktem (CO</w:t>
      </w:r>
      <w:r w:rsidRPr="0050685D">
        <w:rPr>
          <w:vertAlign w:val="subscript"/>
        </w:rPr>
        <w:t>2</w:t>
      </w:r>
      <w:r w:rsidRPr="0050685D">
        <w:t xml:space="preserve"> emitované při</w:t>
      </w:r>
      <w:r>
        <w:t> </w:t>
      </w:r>
      <w:r w:rsidRPr="0050685D">
        <w:t>spalování motorem vozidla) odpovídá množství, které bylo ve výrobním procesu odčerpáno z</w:t>
      </w:r>
      <w:r w:rsidR="00546698">
        <w:t> </w:t>
      </w:r>
      <w:r w:rsidRPr="0050685D">
        <w:t>ovzduší. Při zahrnutí emisních nákladů výroby dochází zhruba k</w:t>
      </w:r>
      <w:r w:rsidR="00546698">
        <w:t> </w:t>
      </w:r>
      <w:r w:rsidRPr="0050685D">
        <w:t>80 % úspoře proti klasickým fosilním palivům. Ačkoli sám palivový cyklus je ve srovnání s</w:t>
      </w:r>
      <w:r w:rsidR="00546698">
        <w:t> </w:t>
      </w:r>
      <w:r w:rsidRPr="0050685D">
        <w:t>přímým využitím vodíku méně efektivní, vznikají při výrobě dále využitelné vedlejší produkty (odpadní teplo, vosky apod.), při</w:t>
      </w:r>
      <w:r>
        <w:t> </w:t>
      </w:r>
      <w:r w:rsidRPr="0050685D">
        <w:t>započtení jejich využití se tak výrobní efektivita dostává vysoko nad 90 %.</w:t>
      </w:r>
    </w:p>
    <w:p w14:paraId="00486BD8" w14:textId="77777777" w:rsidR="001B4719" w:rsidRPr="00A520A1" w:rsidRDefault="001B4719" w:rsidP="001B4719">
      <w:pPr>
        <w:jc w:val="both"/>
        <w:rPr>
          <w:b/>
          <w:bCs/>
          <w:noProof/>
        </w:rPr>
      </w:pPr>
      <w:r w:rsidRPr="00A520A1">
        <w:rPr>
          <w:b/>
          <w:bCs/>
          <w:noProof/>
        </w:rPr>
        <w:t>Aktuální stav a</w:t>
      </w:r>
      <w:r w:rsidR="00546698">
        <w:rPr>
          <w:b/>
          <w:bCs/>
          <w:noProof/>
        </w:rPr>
        <w:t> </w:t>
      </w:r>
      <w:r w:rsidRPr="00A520A1">
        <w:rPr>
          <w:b/>
          <w:bCs/>
          <w:noProof/>
        </w:rPr>
        <w:t>možnosti využití syntetických paliv v</w:t>
      </w:r>
      <w:r w:rsidR="00546698">
        <w:rPr>
          <w:b/>
          <w:bCs/>
          <w:noProof/>
        </w:rPr>
        <w:t> </w:t>
      </w:r>
      <w:r w:rsidRPr="00A520A1">
        <w:rPr>
          <w:b/>
          <w:bCs/>
          <w:noProof/>
        </w:rPr>
        <w:t>ČR</w:t>
      </w:r>
    </w:p>
    <w:p w14:paraId="755DF12B" w14:textId="77777777" w:rsidR="001B4719" w:rsidRPr="0050685D" w:rsidRDefault="001B4719" w:rsidP="001B4719">
      <w:pPr>
        <w:jc w:val="both"/>
      </w:pPr>
      <w:r w:rsidRPr="0050685D">
        <w:t>Syntetickými palivy se zabývají v</w:t>
      </w:r>
      <w:r w:rsidR="00546698">
        <w:t> </w:t>
      </w:r>
      <w:r w:rsidRPr="0050685D">
        <w:t>Evropě především německé firmy. Firma Audi provozuje testovací jednotku ve Wertle (syntetický zemní plyn). Druhá jednotka ve švýcarském Laufenburgu (syntetická nafta) je v</w:t>
      </w:r>
      <w:r w:rsidR="00546698">
        <w:t> </w:t>
      </w:r>
      <w:r w:rsidRPr="0050685D">
        <w:t>přípravě.</w:t>
      </w:r>
    </w:p>
    <w:p w14:paraId="2FF9E533" w14:textId="77777777" w:rsidR="001B4719" w:rsidRPr="0050685D" w:rsidRDefault="001B4719" w:rsidP="001B4719">
      <w:pPr>
        <w:jc w:val="both"/>
      </w:pPr>
      <w:r w:rsidRPr="0050685D">
        <w:t>V České republice aktuálně žádný vývoj neprobíhá.</w:t>
      </w:r>
    </w:p>
    <w:p w14:paraId="20DAB104" w14:textId="77777777" w:rsidR="001B4719" w:rsidRPr="0050685D" w:rsidRDefault="001B4719" w:rsidP="001B4719">
      <w:pPr>
        <w:jc w:val="both"/>
      </w:pPr>
      <w:r w:rsidRPr="0050685D">
        <w:t>Investiční náklady na výrobní jednotku o</w:t>
      </w:r>
      <w:r w:rsidR="00546698">
        <w:t> </w:t>
      </w:r>
      <w:r w:rsidRPr="0050685D">
        <w:t>výkonu 2 MW se dnes pohybují do 100 milionů Kč, při umístění u</w:t>
      </w:r>
      <w:r w:rsidR="00546698">
        <w:t> </w:t>
      </w:r>
      <w:r w:rsidRPr="0050685D">
        <w:t>zdroje CO</w:t>
      </w:r>
      <w:r w:rsidRPr="0050685D">
        <w:rPr>
          <w:vertAlign w:val="subscript"/>
        </w:rPr>
        <w:t>2</w:t>
      </w:r>
      <w:r w:rsidRPr="0050685D">
        <w:t xml:space="preserve"> (CO</w:t>
      </w:r>
      <w:r w:rsidRPr="0050685D">
        <w:rPr>
          <w:vertAlign w:val="subscript"/>
        </w:rPr>
        <w:t>2</w:t>
      </w:r>
      <w:r w:rsidRPr="0050685D">
        <w:t xml:space="preserve"> není odčerpáváno z</w:t>
      </w:r>
      <w:r w:rsidR="00546698">
        <w:t> </w:t>
      </w:r>
      <w:r w:rsidRPr="0050685D">
        <w:t>ovzduší) může být cena i</w:t>
      </w:r>
      <w:r w:rsidR="00546698">
        <w:t> </w:t>
      </w:r>
      <w:r w:rsidRPr="0050685D">
        <w:t>poloviční. Se</w:t>
      </w:r>
      <w:r>
        <w:t> </w:t>
      </w:r>
      <w:r w:rsidRPr="0050685D">
        <w:t>vzrůstajícím výkonem náklady rapidně klesají, u</w:t>
      </w:r>
      <w:r w:rsidR="00546698">
        <w:t> </w:t>
      </w:r>
      <w:r w:rsidRPr="0050685D">
        <w:t>jednotky 8 MW jde asi o</w:t>
      </w:r>
      <w:r w:rsidR="00546698">
        <w:t> </w:t>
      </w:r>
      <w:r w:rsidRPr="0050685D">
        <w:t>300 milionů Kč.</w:t>
      </w:r>
    </w:p>
    <w:p w14:paraId="00C5B7FB" w14:textId="77777777" w:rsidR="001B4719" w:rsidRPr="0050685D" w:rsidRDefault="001B4719" w:rsidP="001B4719">
      <w:pPr>
        <w:jc w:val="both"/>
      </w:pPr>
      <w:r w:rsidRPr="0050685D">
        <w:t>Podle německé studie (</w:t>
      </w:r>
      <w:r w:rsidRPr="0050685D">
        <w:rPr>
          <w:i/>
          <w:iCs/>
        </w:rPr>
        <w:t>Frontier Economics: Synthetic Energy Sources – Perspectives for German Economy and International Trade</w:t>
      </w:r>
      <w:r w:rsidRPr="0050685D">
        <w:t>) může rozvoj produkce syntetických paliv v</w:t>
      </w:r>
      <w:r w:rsidR="00546698">
        <w:t> </w:t>
      </w:r>
      <w:r w:rsidRPr="0050685D">
        <w:t>decentralizovaných jednotkách přinést až 175 000 nových přímých pracovních míst.</w:t>
      </w:r>
    </w:p>
    <w:p w14:paraId="3C2FBD46" w14:textId="77777777" w:rsidR="001B4719" w:rsidRPr="0050685D" w:rsidRDefault="001B4719" w:rsidP="001B4719">
      <w:pPr>
        <w:jc w:val="both"/>
      </w:pPr>
      <w:r w:rsidRPr="0050685D">
        <w:t>I podle studie švýcarské společnosti Prognos zpracované společně s</w:t>
      </w:r>
      <w:r w:rsidR="00546698">
        <w:t> </w:t>
      </w:r>
      <w:r w:rsidRPr="0050685D">
        <w:t>Fraunhoferovým Institutem (Status and Perspectives of Liquid Energy Sources in the Energy Transition) jsou syntetická paliva nepostradatelnou součástí dekarbonizace v</w:t>
      </w:r>
      <w:r w:rsidR="00546698">
        <w:t> </w:t>
      </w:r>
      <w:r w:rsidRPr="0050685D">
        <w:t>dopravě. Přitom je potřeba investovat do</w:t>
      </w:r>
      <w:r>
        <w:t> </w:t>
      </w:r>
      <w:r w:rsidRPr="0050685D">
        <w:t>dalšího vývoje a</w:t>
      </w:r>
      <w:r w:rsidR="00546698">
        <w:t> </w:t>
      </w:r>
      <w:r w:rsidRPr="0050685D">
        <w:t>zefektivnění elektrolýzy, syntézy i</w:t>
      </w:r>
      <w:r w:rsidR="00546698">
        <w:t> </w:t>
      </w:r>
      <w:r w:rsidRPr="0050685D">
        <w:t>získávání CO</w:t>
      </w:r>
      <w:r w:rsidRPr="0050685D">
        <w:rPr>
          <w:vertAlign w:val="subscript"/>
        </w:rPr>
        <w:t>2</w:t>
      </w:r>
      <w:r w:rsidRPr="0050685D">
        <w:t xml:space="preserve"> z</w:t>
      </w:r>
      <w:r w:rsidR="00546698">
        <w:t> </w:t>
      </w:r>
      <w:r w:rsidRPr="0050685D">
        <w:t>ovzduší, aby mohla syntetická paliva v</w:t>
      </w:r>
      <w:r w:rsidR="00546698">
        <w:t> </w:t>
      </w:r>
      <w:r w:rsidRPr="0050685D">
        <w:t>dohledné budoucnosti konkurovat fosilním palivům i</w:t>
      </w:r>
      <w:r w:rsidR="00546698">
        <w:t> </w:t>
      </w:r>
      <w:r w:rsidRPr="0050685D">
        <w:t>bez subvencí. Ačkoli jde o</w:t>
      </w:r>
      <w:r w:rsidR="00546698">
        <w:t> </w:t>
      </w:r>
      <w:r w:rsidRPr="0050685D">
        <w:t>známou technologii, jsou syntetická paliva teprve na počátku plošného nasazení. K</w:t>
      </w:r>
      <w:r w:rsidR="00546698">
        <w:t> </w:t>
      </w:r>
      <w:r w:rsidRPr="0050685D">
        <w:t>tomu je</w:t>
      </w:r>
      <w:r>
        <w:t> </w:t>
      </w:r>
      <w:r w:rsidRPr="0050685D">
        <w:t>nezbytný další vývoj, který musí přinést další zefektivnění výrobního procesu.</w:t>
      </w:r>
    </w:p>
    <w:p w14:paraId="0E7CFCE7" w14:textId="77777777" w:rsidR="001B4719" w:rsidRPr="00481FD9" w:rsidRDefault="001B4719" w:rsidP="001B4719">
      <w:pPr>
        <w:jc w:val="both"/>
      </w:pPr>
      <w:r w:rsidRPr="0050685D">
        <w:t>S ohledem na tradice chemické výroby v</w:t>
      </w:r>
      <w:r w:rsidR="00546698">
        <w:t> </w:t>
      </w:r>
      <w:r w:rsidRPr="0050685D">
        <w:t>Česku by bylo vhodné investičně podpořit jednu nebo více testovacích výrobních jednotek, což by mohlo při očekávaném budoucím rozšíření syntetických paliv přinést tuzemskému průmyslu určitý technologický náskok a</w:t>
      </w:r>
      <w:r w:rsidR="00546698">
        <w:t> </w:t>
      </w:r>
      <w:r>
        <w:t>s tím spojené nesporné výhody.</w:t>
      </w:r>
    </w:p>
    <w:p w14:paraId="6BFEDA05" w14:textId="77777777" w:rsidR="001B4719" w:rsidRPr="0050685D" w:rsidRDefault="001B4719" w:rsidP="001B4719">
      <w:pPr>
        <w:pStyle w:val="Nadpis2"/>
        <w:numPr>
          <w:ilvl w:val="1"/>
          <w:numId w:val="9"/>
        </w:numPr>
        <w:jc w:val="both"/>
        <w:rPr>
          <w:rFonts w:cstheme="minorHAnsi"/>
        </w:rPr>
      </w:pPr>
      <w:bookmarkStart w:id="564" w:name="_Toc13685909"/>
      <w:bookmarkStart w:id="565" w:name="_Toc13753806"/>
      <w:bookmarkStart w:id="566" w:name="_Toc19792388"/>
      <w:bookmarkStart w:id="567" w:name="_Toc25067665"/>
      <w:bookmarkStart w:id="568" w:name="_Toc25084505"/>
      <w:bookmarkStart w:id="569" w:name="_Toc25136838"/>
      <w:bookmarkStart w:id="570" w:name="_Toc34295964"/>
      <w:r w:rsidRPr="0050685D">
        <w:rPr>
          <w:rFonts w:cstheme="minorHAnsi"/>
        </w:rPr>
        <w:t>Paliva na bázi čpavku</w:t>
      </w:r>
      <w:bookmarkEnd w:id="564"/>
      <w:bookmarkEnd w:id="565"/>
      <w:bookmarkEnd w:id="566"/>
      <w:bookmarkEnd w:id="567"/>
      <w:bookmarkEnd w:id="568"/>
      <w:bookmarkEnd w:id="569"/>
      <w:bookmarkEnd w:id="570"/>
    </w:p>
    <w:p w14:paraId="2AFEE32F" w14:textId="77777777" w:rsidR="001B4719" w:rsidRPr="00475886" w:rsidRDefault="001B4719" w:rsidP="001B4719">
      <w:pPr>
        <w:jc w:val="both"/>
        <w:rPr>
          <w:rFonts w:cstheme="minorHAnsi"/>
          <w:b/>
          <w:bCs/>
        </w:rPr>
      </w:pPr>
      <w:r w:rsidRPr="00475886">
        <w:rPr>
          <w:rFonts w:cstheme="minorHAnsi"/>
          <w:b/>
          <w:bCs/>
        </w:rPr>
        <w:t>Historie využití čpavku v</w:t>
      </w:r>
      <w:r w:rsidR="00546698">
        <w:rPr>
          <w:rFonts w:cstheme="minorHAnsi"/>
          <w:b/>
          <w:bCs/>
        </w:rPr>
        <w:t> </w:t>
      </w:r>
      <w:r w:rsidRPr="00475886">
        <w:rPr>
          <w:rFonts w:cstheme="minorHAnsi"/>
          <w:b/>
          <w:bCs/>
        </w:rPr>
        <w:t>dopravě</w:t>
      </w:r>
    </w:p>
    <w:p w14:paraId="0F5E552C" w14:textId="77777777" w:rsidR="001B4719" w:rsidRPr="0019423C" w:rsidRDefault="001B4719" w:rsidP="001B4719">
      <w:pPr>
        <w:jc w:val="both"/>
      </w:pPr>
      <w:r w:rsidRPr="0050685D">
        <w:rPr>
          <w:rFonts w:cstheme="minorHAnsi"/>
        </w:rPr>
        <w:t>Čpavek (amoniak) je podle objemu výroby druhá nejběžnější a</w:t>
      </w:r>
      <w:r w:rsidR="00546698">
        <w:rPr>
          <w:rFonts w:cstheme="minorHAnsi"/>
        </w:rPr>
        <w:t> </w:t>
      </w:r>
      <w:r w:rsidRPr="0050685D">
        <w:rPr>
          <w:rFonts w:cstheme="minorHAnsi"/>
        </w:rPr>
        <w:t>nejrozšířenější chemická sloučenina. V</w:t>
      </w:r>
      <w:r w:rsidR="00546698">
        <w:rPr>
          <w:rFonts w:cstheme="minorHAnsi"/>
        </w:rPr>
        <w:t> </w:t>
      </w:r>
      <w:r w:rsidRPr="0050685D">
        <w:rPr>
          <w:rFonts w:cstheme="minorHAnsi"/>
        </w:rPr>
        <w:t>roce 2006 byla její celosvětová výroba odhadována na 146 milionů tun. Přes 80</w:t>
      </w:r>
      <w:r>
        <w:rPr>
          <w:rFonts w:cstheme="minorHAnsi"/>
        </w:rPr>
        <w:t> </w:t>
      </w:r>
      <w:r w:rsidRPr="0050685D">
        <w:rPr>
          <w:rFonts w:cstheme="minorHAnsi"/>
        </w:rPr>
        <w:t>% výroby je využíváno v</w:t>
      </w:r>
      <w:r w:rsidR="00546698">
        <w:rPr>
          <w:rFonts w:cstheme="minorHAnsi"/>
        </w:rPr>
        <w:t> </w:t>
      </w:r>
      <w:r w:rsidRPr="0050685D">
        <w:rPr>
          <w:rFonts w:cstheme="minorHAnsi"/>
        </w:rPr>
        <w:t>zemědělství (hnojiva). Čpavek jako motorové palivo byl používán již před rokem 1900, většího rozšíření se mu dostalo až za 2. světové války v</w:t>
      </w:r>
      <w:r w:rsidR="00546698">
        <w:rPr>
          <w:rFonts w:cstheme="minorHAnsi"/>
        </w:rPr>
        <w:t> </w:t>
      </w:r>
      <w:r w:rsidRPr="0050685D">
        <w:rPr>
          <w:rFonts w:cstheme="minorHAnsi"/>
        </w:rPr>
        <w:t>Belgii, po válce byl ale</w:t>
      </w:r>
      <w:r>
        <w:rPr>
          <w:rFonts w:cstheme="minorHAnsi"/>
        </w:rPr>
        <w:t> </w:t>
      </w:r>
      <w:r w:rsidRPr="0050685D">
        <w:rPr>
          <w:rFonts w:cstheme="minorHAnsi"/>
        </w:rPr>
        <w:t>projekt zastaven pro nadbytečnost, protože byly k</w:t>
      </w:r>
      <w:r w:rsidR="00546698">
        <w:rPr>
          <w:rFonts w:cstheme="minorHAnsi"/>
        </w:rPr>
        <w:t> </w:t>
      </w:r>
      <w:r w:rsidRPr="0050685D">
        <w:rPr>
          <w:rFonts w:cstheme="minorHAnsi"/>
        </w:rPr>
        <w:t>opět k</w:t>
      </w:r>
      <w:r w:rsidR="00546698">
        <w:rPr>
          <w:rFonts w:cstheme="minorHAnsi"/>
        </w:rPr>
        <w:t> </w:t>
      </w:r>
      <w:r w:rsidRPr="0050685D">
        <w:rPr>
          <w:rFonts w:cstheme="minorHAnsi"/>
        </w:rPr>
        <w:t>dispozici dostatečné objemy klasických ropných paliv.</w:t>
      </w:r>
    </w:p>
    <w:p w14:paraId="30F63D52" w14:textId="77777777" w:rsidR="001B4719" w:rsidRDefault="001B4719" w:rsidP="001B4719">
      <w:pPr>
        <w:jc w:val="both"/>
      </w:pPr>
    </w:p>
    <w:p w14:paraId="719B3F70" w14:textId="77777777" w:rsidR="001B4719" w:rsidRPr="00481FD9" w:rsidRDefault="001B4719" w:rsidP="001B4719">
      <w:pPr>
        <w:jc w:val="both"/>
        <w:rPr>
          <w:b/>
        </w:rPr>
      </w:pPr>
      <w:r w:rsidRPr="00481FD9">
        <w:rPr>
          <w:b/>
        </w:rPr>
        <w:t>Tradiční a</w:t>
      </w:r>
      <w:r w:rsidR="00546698">
        <w:rPr>
          <w:b/>
        </w:rPr>
        <w:t> </w:t>
      </w:r>
      <w:r w:rsidRPr="00481FD9">
        <w:rPr>
          <w:b/>
        </w:rPr>
        <w:t xml:space="preserve">„bezemisní“ výroba čpavku </w:t>
      </w:r>
    </w:p>
    <w:p w14:paraId="6BDDA4EB" w14:textId="77777777" w:rsidR="001B4719" w:rsidRPr="0050685D" w:rsidRDefault="001B4719" w:rsidP="001B4719">
      <w:pPr>
        <w:jc w:val="both"/>
        <w:rPr>
          <w:rFonts w:cstheme="minorHAnsi"/>
        </w:rPr>
      </w:pPr>
      <w:r w:rsidRPr="0050685D">
        <w:rPr>
          <w:rFonts w:cstheme="minorHAnsi"/>
        </w:rPr>
        <w:t>Typickým zdrojem pro výrobu čpavku je „fosilní“ zemní plyn. Ve snaze snižovat emise skleníkových plynů v</w:t>
      </w:r>
      <w:r w:rsidR="00546698">
        <w:rPr>
          <w:rFonts w:cstheme="minorHAnsi"/>
        </w:rPr>
        <w:t> </w:t>
      </w:r>
      <w:r w:rsidRPr="0050685D">
        <w:rPr>
          <w:rFonts w:cstheme="minorHAnsi"/>
        </w:rPr>
        <w:t xml:space="preserve">průmyslu byl zdokonalen alternativní výrobní proces založený na Haber – Boschově syntéze. </w:t>
      </w:r>
    </w:p>
    <w:p w14:paraId="310CC7AE" w14:textId="77777777" w:rsidR="001B4719" w:rsidRDefault="001B4719" w:rsidP="001B4719">
      <w:pPr>
        <w:jc w:val="both"/>
        <w:rPr>
          <w:rFonts w:cstheme="minorHAnsi"/>
        </w:rPr>
      </w:pPr>
      <w:r w:rsidRPr="0050685D">
        <w:rPr>
          <w:rFonts w:cstheme="minorHAnsi"/>
        </w:rPr>
        <w:t>Primárním energetickým vstupem je elektřina z</w:t>
      </w:r>
      <w:r w:rsidR="00546698">
        <w:rPr>
          <w:rFonts w:cstheme="minorHAnsi"/>
        </w:rPr>
        <w:t> </w:t>
      </w:r>
      <w:r w:rsidRPr="0050685D">
        <w:rPr>
          <w:rFonts w:cstheme="minorHAnsi"/>
        </w:rPr>
        <w:t>obnovitelného zdroje, která je využita při</w:t>
      </w:r>
      <w:r>
        <w:rPr>
          <w:rFonts w:cstheme="minorHAnsi"/>
        </w:rPr>
        <w:t> </w:t>
      </w:r>
      <w:r w:rsidRPr="0050685D">
        <w:rPr>
          <w:rFonts w:cstheme="minorHAnsi"/>
        </w:rPr>
        <w:t>elektrolýze na získání vodíku z</w:t>
      </w:r>
      <w:r w:rsidR="00546698">
        <w:rPr>
          <w:rFonts w:cstheme="minorHAnsi"/>
        </w:rPr>
        <w:t> </w:t>
      </w:r>
      <w:r w:rsidRPr="0050685D">
        <w:rPr>
          <w:rFonts w:cstheme="minorHAnsi"/>
        </w:rPr>
        <w:t>vody. Separací se z</w:t>
      </w:r>
      <w:r w:rsidR="00546698">
        <w:rPr>
          <w:rFonts w:cstheme="minorHAnsi"/>
        </w:rPr>
        <w:t> </w:t>
      </w:r>
      <w:r w:rsidRPr="0050685D">
        <w:rPr>
          <w:rFonts w:cstheme="minorHAnsi"/>
        </w:rPr>
        <w:t>okolního ovzduší získává další surovina, dusík. Haber-Boschovým procesem je pak z</w:t>
      </w:r>
      <w:r w:rsidR="00546698">
        <w:rPr>
          <w:rFonts w:cstheme="minorHAnsi"/>
        </w:rPr>
        <w:t> </w:t>
      </w:r>
      <w:r w:rsidRPr="0050685D">
        <w:rPr>
          <w:rFonts w:cstheme="minorHAnsi"/>
        </w:rPr>
        <w:t>obou surovin vyráběn syntetický čpavek, viz</w:t>
      </w:r>
      <w:r>
        <w:rPr>
          <w:rFonts w:cstheme="minorHAnsi"/>
        </w:rPr>
        <w:t> </w:t>
      </w:r>
      <w:r w:rsidRPr="0050685D">
        <w:rPr>
          <w:rFonts w:cstheme="minorHAnsi"/>
        </w:rPr>
        <w:t>přiložené schéma.</w:t>
      </w:r>
    </w:p>
    <w:p w14:paraId="52551EE0" w14:textId="77777777" w:rsidR="006A06F0" w:rsidRDefault="006A06F0" w:rsidP="006A06F0">
      <w:pPr>
        <w:pStyle w:val="Titulek"/>
        <w:keepNext/>
        <w:jc w:val="both"/>
      </w:pPr>
      <w:bookmarkStart w:id="571" w:name="_Toc25230435"/>
      <w:r>
        <w:lastRenderedPageBreak/>
        <w:t xml:space="preserve">Obrázek </w:t>
      </w:r>
      <w:r w:rsidR="001614BC">
        <w:rPr>
          <w:noProof/>
        </w:rPr>
        <w:fldChar w:fldCharType="begin"/>
      </w:r>
      <w:r w:rsidR="001614BC">
        <w:rPr>
          <w:noProof/>
        </w:rPr>
        <w:instrText xml:space="preserve"> SEQ Obrázek \* ARABIC </w:instrText>
      </w:r>
      <w:r w:rsidR="001614BC">
        <w:rPr>
          <w:noProof/>
        </w:rPr>
        <w:fldChar w:fldCharType="separate"/>
      </w:r>
      <w:r w:rsidR="00DF768A">
        <w:rPr>
          <w:noProof/>
        </w:rPr>
        <w:t>28</w:t>
      </w:r>
      <w:r w:rsidR="001614BC">
        <w:rPr>
          <w:noProof/>
        </w:rPr>
        <w:fldChar w:fldCharType="end"/>
      </w:r>
      <w:r w:rsidRPr="006A06F0">
        <w:t xml:space="preserve"> </w:t>
      </w:r>
      <w:r w:rsidRPr="00C969EA">
        <w:t>Schéma výroby „nízkoemisního“ (var. bezemisního) čpavku</w:t>
      </w:r>
      <w:bookmarkEnd w:id="571"/>
    </w:p>
    <w:p w14:paraId="268E47DA" w14:textId="77777777" w:rsidR="001B4719" w:rsidRPr="0050685D" w:rsidRDefault="001B4719" w:rsidP="001B4719">
      <w:pPr>
        <w:jc w:val="both"/>
        <w:rPr>
          <w:rFonts w:asciiTheme="majorHAnsi" w:hAnsiTheme="majorHAnsi" w:cstheme="minorHAnsi"/>
          <w:sz w:val="20"/>
          <w:szCs w:val="20"/>
        </w:rPr>
      </w:pPr>
      <w:r w:rsidRPr="0050685D">
        <w:rPr>
          <w:rFonts w:asciiTheme="majorHAnsi" w:hAnsiTheme="majorHAnsi" w:cstheme="minorHAnsi"/>
          <w:noProof/>
          <w:sz w:val="20"/>
          <w:szCs w:val="20"/>
        </w:rPr>
        <w:drawing>
          <wp:inline distT="0" distB="0" distL="0" distR="0" wp14:anchorId="122AABCF" wp14:editId="0A0DD162">
            <wp:extent cx="5756910" cy="3026410"/>
            <wp:effectExtent l="0" t="0" r="0" b="0"/>
            <wp:docPr id="35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hema amoniak.pd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56910" cy="3026410"/>
                    </a:xfrm>
                    <a:prstGeom prst="rect">
                      <a:avLst/>
                    </a:prstGeom>
                  </pic:spPr>
                </pic:pic>
              </a:graphicData>
            </a:graphic>
          </wp:inline>
        </w:drawing>
      </w:r>
    </w:p>
    <w:p w14:paraId="3B672CD2" w14:textId="77777777" w:rsidR="001B4719" w:rsidRPr="0050685D" w:rsidRDefault="001B4719" w:rsidP="001B4719">
      <w:pPr>
        <w:jc w:val="both"/>
      </w:pPr>
      <w:r w:rsidRPr="0050685D">
        <w:t>Zdroj: SČS – Unie nezávislých petrolejářů</w:t>
      </w:r>
    </w:p>
    <w:p w14:paraId="002F37BB" w14:textId="77777777" w:rsidR="001B4719" w:rsidRPr="0050685D" w:rsidRDefault="001B4719" w:rsidP="001B4719">
      <w:pPr>
        <w:jc w:val="both"/>
      </w:pPr>
      <w:r w:rsidRPr="0050685D">
        <w:t>Takto vyráběný čpavek je zcela bezemisním zdrojem, protože ani při jeho výrobě a</w:t>
      </w:r>
      <w:r w:rsidR="00546698">
        <w:t> </w:t>
      </w:r>
      <w:r w:rsidRPr="0050685D">
        <w:t xml:space="preserve">samozřejmě ani při následném využití nevznikají žádné emise skleníkových plynů. </w:t>
      </w:r>
    </w:p>
    <w:p w14:paraId="2E79A054" w14:textId="77777777" w:rsidR="001B4719" w:rsidRPr="0050685D" w:rsidRDefault="001B4719" w:rsidP="001B4719">
      <w:pPr>
        <w:jc w:val="both"/>
      </w:pPr>
      <w:r w:rsidRPr="0050685D">
        <w:t>Pokud je k</w:t>
      </w:r>
      <w:r w:rsidR="00546698">
        <w:t> </w:t>
      </w:r>
      <w:r w:rsidRPr="0050685D">
        <w:t>výrobě používána elektrická energie z</w:t>
      </w:r>
      <w:r w:rsidR="00546698">
        <w:t> </w:t>
      </w:r>
      <w:r w:rsidRPr="0050685D">
        <w:t>rozvodné sítě, je možno technologii nastavit pouze k</w:t>
      </w:r>
      <w:r w:rsidR="00546698">
        <w:t> </w:t>
      </w:r>
      <w:r w:rsidRPr="0050685D">
        <w:t>odběru špiček, které by jinak nebyly využity. I</w:t>
      </w:r>
      <w:r w:rsidR="00546698">
        <w:t> </w:t>
      </w:r>
      <w:r w:rsidRPr="0050685D">
        <w:t>v</w:t>
      </w:r>
      <w:r>
        <w:t> </w:t>
      </w:r>
      <w:r w:rsidRPr="0050685D">
        <w:t>takovém případě lze teoreticky hovořit o</w:t>
      </w:r>
      <w:r w:rsidR="00546698">
        <w:t> </w:t>
      </w:r>
      <w:r w:rsidRPr="0050685D">
        <w:t>bezemisním zdroji, protože využití takové energie nezvyšuje produkci CO</w:t>
      </w:r>
      <w:r w:rsidRPr="0050685D">
        <w:rPr>
          <w:vertAlign w:val="subscript"/>
        </w:rPr>
        <w:t>2</w:t>
      </w:r>
      <w:r w:rsidRPr="0050685D">
        <w:t>.</w:t>
      </w:r>
    </w:p>
    <w:p w14:paraId="0B08947B" w14:textId="77777777" w:rsidR="001B4719" w:rsidRPr="00C969EA" w:rsidRDefault="001B4719" w:rsidP="001B4719">
      <w:pPr>
        <w:jc w:val="both"/>
        <w:rPr>
          <w:b/>
        </w:rPr>
      </w:pPr>
      <w:r w:rsidRPr="00C969EA">
        <w:rPr>
          <w:b/>
        </w:rPr>
        <w:t>Novodobé možnosti využití čpavku v</w:t>
      </w:r>
      <w:r w:rsidR="00546698">
        <w:rPr>
          <w:b/>
        </w:rPr>
        <w:t> </w:t>
      </w:r>
      <w:r w:rsidRPr="00C969EA">
        <w:rPr>
          <w:b/>
        </w:rPr>
        <w:t>energetice a</w:t>
      </w:r>
      <w:r w:rsidR="00546698">
        <w:rPr>
          <w:b/>
        </w:rPr>
        <w:t> </w:t>
      </w:r>
      <w:r w:rsidRPr="00C969EA">
        <w:rPr>
          <w:b/>
        </w:rPr>
        <w:t>dopravě</w:t>
      </w:r>
    </w:p>
    <w:p w14:paraId="6334EC00" w14:textId="77777777" w:rsidR="001B4719" w:rsidRPr="00C969EA" w:rsidRDefault="001B4719" w:rsidP="001B4719">
      <w:pPr>
        <w:jc w:val="both"/>
        <w:rPr>
          <w:b/>
        </w:rPr>
      </w:pPr>
      <w:r w:rsidRPr="00C969EA">
        <w:rPr>
          <w:b/>
        </w:rPr>
        <w:t>Energetika</w:t>
      </w:r>
    </w:p>
    <w:p w14:paraId="004EBA7C" w14:textId="77777777" w:rsidR="001B4719" w:rsidRPr="0050685D" w:rsidRDefault="001B4719" w:rsidP="001B4719">
      <w:pPr>
        <w:jc w:val="both"/>
      </w:pPr>
      <w:r w:rsidRPr="0050685D">
        <w:t>Bezemisně vyrobený čpavek je samozřejmě možno používat jako náhradu běžného čpavku v</w:t>
      </w:r>
      <w:r w:rsidR="00546698">
        <w:t> </w:t>
      </w:r>
      <w:r w:rsidRPr="0050685D">
        <w:t>zemědělství, chemické výrobě, průmyslu. Novou možností je využití čpavku jako úložiště energie. Rozložením čpavku lze získat čistý vodík, kterým je dále poháněn palivový článek. Tato „čpavková baterie“ má sice v</w:t>
      </w:r>
      <w:r w:rsidR="00546698">
        <w:t> </w:t>
      </w:r>
      <w:r w:rsidRPr="0050685D">
        <w:t>porovnání s</w:t>
      </w:r>
      <w:r w:rsidR="00546698">
        <w:t> </w:t>
      </w:r>
      <w:r w:rsidRPr="0050685D">
        <w:t>běžnou baterií vyšší ztráty, ale má také významné výhody. Čpavek lze poměrně snadno a</w:t>
      </w:r>
      <w:r w:rsidR="00546698">
        <w:t> </w:t>
      </w:r>
      <w:r w:rsidRPr="0050685D">
        <w:t>beze ztrát uchovávat velmi dlouhou dobu (zatímco elektrická baterie se časem vybíjí). Zároveň není pro uchování energie potřeba energeticky a</w:t>
      </w:r>
      <w:r w:rsidR="00546698">
        <w:t> </w:t>
      </w:r>
      <w:r w:rsidRPr="0050685D">
        <w:t>environmentálně náročných procesů výroby baterie obsahující lithium, kobalt a</w:t>
      </w:r>
      <w:r w:rsidR="00546698">
        <w:t> </w:t>
      </w:r>
      <w:r w:rsidRPr="0050685D">
        <w:t>další prvky.</w:t>
      </w:r>
    </w:p>
    <w:p w14:paraId="6754CB89" w14:textId="77777777" w:rsidR="001B4719" w:rsidRPr="0050685D" w:rsidRDefault="001B4719" w:rsidP="001B4719">
      <w:pPr>
        <w:jc w:val="both"/>
      </w:pPr>
      <w:r w:rsidRPr="0050685D">
        <w:t>Využití „čpavkové baterie“ se tak nabízí jak pro vykrývání špiček výroby a</w:t>
      </w:r>
      <w:r w:rsidR="00546698">
        <w:t> </w:t>
      </w:r>
      <w:r w:rsidRPr="0050685D">
        <w:t>spotřeby (podobně jako přečerpávací elektrárna) tak pro dlouhodobější skladování vyrobené energie.</w:t>
      </w:r>
    </w:p>
    <w:p w14:paraId="3B113238" w14:textId="77777777" w:rsidR="001B4719" w:rsidRPr="00C969EA" w:rsidRDefault="001B4719" w:rsidP="001B4719">
      <w:pPr>
        <w:jc w:val="both"/>
        <w:rPr>
          <w:b/>
        </w:rPr>
      </w:pPr>
      <w:r w:rsidRPr="00C969EA">
        <w:rPr>
          <w:b/>
        </w:rPr>
        <w:t>Doprava</w:t>
      </w:r>
    </w:p>
    <w:p w14:paraId="1DC06257" w14:textId="77777777" w:rsidR="001B4719" w:rsidRPr="00C969EA" w:rsidRDefault="001B4719" w:rsidP="001B4719">
      <w:pPr>
        <w:jc w:val="both"/>
        <w:rPr>
          <w:rFonts w:cs="Arial"/>
        </w:rPr>
      </w:pPr>
      <w:r w:rsidRPr="00C969EA">
        <w:rPr>
          <w:rFonts w:cs="Arial"/>
        </w:rPr>
        <w:t>Využití čpavku v</w:t>
      </w:r>
      <w:r w:rsidR="00546698">
        <w:rPr>
          <w:rFonts w:cs="Arial"/>
        </w:rPr>
        <w:t> </w:t>
      </w:r>
      <w:r w:rsidRPr="00C969EA">
        <w:rPr>
          <w:rFonts w:cs="Arial"/>
        </w:rPr>
        <w:t xml:space="preserve">dopravě se ubírá dvěma cestami. </w:t>
      </w:r>
    </w:p>
    <w:p w14:paraId="78896ED5" w14:textId="77777777" w:rsidR="001B4719" w:rsidRPr="00C969EA" w:rsidRDefault="001B4719" w:rsidP="001B4719">
      <w:pPr>
        <w:jc w:val="both"/>
        <w:rPr>
          <w:rFonts w:cs="Arial"/>
        </w:rPr>
      </w:pPr>
      <w:r w:rsidRPr="00C969EA">
        <w:rPr>
          <w:rFonts w:cs="Arial"/>
        </w:rPr>
        <w:t>Přímé spalování čpavku v</w:t>
      </w:r>
      <w:r w:rsidR="00546698">
        <w:rPr>
          <w:rFonts w:cs="Arial"/>
        </w:rPr>
        <w:t> </w:t>
      </w:r>
      <w:r w:rsidRPr="00C969EA">
        <w:rPr>
          <w:rFonts w:cs="Arial"/>
        </w:rPr>
        <w:t>motoru s</w:t>
      </w:r>
      <w:r w:rsidR="00546698">
        <w:rPr>
          <w:rFonts w:cs="Arial"/>
        </w:rPr>
        <w:t> </w:t>
      </w:r>
      <w:r w:rsidRPr="00C969EA">
        <w:rPr>
          <w:rFonts w:cs="Arial"/>
        </w:rPr>
        <w:t>vnitřním spalováním (ICE) navazuje na původní využití čpavku jako paliva během 2. světové války. V</w:t>
      </w:r>
      <w:r w:rsidR="00546698">
        <w:rPr>
          <w:rFonts w:cs="Arial"/>
        </w:rPr>
        <w:t> </w:t>
      </w:r>
      <w:r w:rsidRPr="00C969EA">
        <w:rPr>
          <w:rFonts w:cs="Arial"/>
        </w:rPr>
        <w:t>roce 2008 si americká firma Caterpillar nově takový motor patentovala a</w:t>
      </w:r>
      <w:r w:rsidR="00546698">
        <w:rPr>
          <w:rFonts w:cs="Arial"/>
        </w:rPr>
        <w:t> </w:t>
      </w:r>
      <w:r w:rsidRPr="00C969EA">
        <w:rPr>
          <w:rFonts w:cs="Arial"/>
        </w:rPr>
        <w:t>dál pracuje na jeho vývoji. S</w:t>
      </w:r>
      <w:r w:rsidR="00546698">
        <w:rPr>
          <w:rFonts w:cs="Arial"/>
        </w:rPr>
        <w:t> </w:t>
      </w:r>
      <w:r w:rsidRPr="00C969EA">
        <w:rPr>
          <w:rFonts w:cs="Arial"/>
        </w:rPr>
        <w:t>ohledem na to, že čpavek hoří poměrně pomalu, jde o</w:t>
      </w:r>
      <w:r w:rsidR="00546698">
        <w:rPr>
          <w:rFonts w:cs="Arial"/>
        </w:rPr>
        <w:t> </w:t>
      </w:r>
      <w:r w:rsidRPr="00C969EA">
        <w:rPr>
          <w:rFonts w:cs="Arial"/>
        </w:rPr>
        <w:t>dual-fuel motor, kde druhým palivem, které kompenzuje nevýhody čpavku, je nafta nebo benzín. Podobným směrem se ubírá i</w:t>
      </w:r>
      <w:r w:rsidR="00546698">
        <w:rPr>
          <w:rFonts w:cs="Arial"/>
        </w:rPr>
        <w:t> </w:t>
      </w:r>
      <w:r w:rsidRPr="00C969EA">
        <w:rPr>
          <w:rFonts w:cs="Arial"/>
        </w:rPr>
        <w:t>Xiamen University v</w:t>
      </w:r>
      <w:r w:rsidR="00546698">
        <w:rPr>
          <w:rFonts w:cs="Arial"/>
        </w:rPr>
        <w:t> </w:t>
      </w:r>
      <w:r w:rsidRPr="00C969EA">
        <w:rPr>
          <w:rFonts w:cs="Arial"/>
        </w:rPr>
        <w:t>Číně, Korean Institute for</w:t>
      </w:r>
      <w:r>
        <w:rPr>
          <w:rFonts w:cs="Arial"/>
        </w:rPr>
        <w:t xml:space="preserve"> </w:t>
      </w:r>
      <w:r w:rsidRPr="00C969EA">
        <w:rPr>
          <w:rFonts w:cs="Arial"/>
        </w:rPr>
        <w:t>Energy Research, Hydrofuel v</w:t>
      </w:r>
      <w:r w:rsidR="00546698">
        <w:rPr>
          <w:rFonts w:cs="Arial"/>
        </w:rPr>
        <w:t> </w:t>
      </w:r>
      <w:r w:rsidRPr="00C969EA">
        <w:rPr>
          <w:rFonts w:cs="Arial"/>
        </w:rPr>
        <w:t>Kanadě nebo Iowa State University.</w:t>
      </w:r>
    </w:p>
    <w:p w14:paraId="4B6DC94E" w14:textId="77777777" w:rsidR="001B4719" w:rsidRPr="00C969EA" w:rsidRDefault="001B4719" w:rsidP="001B4719">
      <w:pPr>
        <w:jc w:val="both"/>
        <w:rPr>
          <w:rFonts w:cs="Arial"/>
        </w:rPr>
      </w:pPr>
      <w:r w:rsidRPr="00C969EA">
        <w:rPr>
          <w:rFonts w:cs="Arial"/>
        </w:rPr>
        <w:t>Japonská Toyota jako druhé palivo využívá přímo vodík. Výhoda je samozřejmě v</w:t>
      </w:r>
      <w:r w:rsidR="00546698">
        <w:rPr>
          <w:rFonts w:cs="Arial"/>
        </w:rPr>
        <w:t> </w:t>
      </w:r>
      <w:r w:rsidRPr="00C969EA">
        <w:rPr>
          <w:rFonts w:cs="Arial"/>
        </w:rPr>
        <w:t>potřebě pouze jedné palivové nádrže ve voze (a nižší hmotnosti vozidla), protože vodík se vyrábí těsně před jeho použitím přímo ze čpavku.</w:t>
      </w:r>
    </w:p>
    <w:p w14:paraId="4DD08CC7" w14:textId="77777777" w:rsidR="001B4719" w:rsidRPr="00C969EA" w:rsidRDefault="001B4719" w:rsidP="001B4719">
      <w:pPr>
        <w:jc w:val="both"/>
        <w:rPr>
          <w:rFonts w:cs="Arial"/>
        </w:rPr>
      </w:pPr>
      <w:r w:rsidRPr="00C969EA">
        <w:rPr>
          <w:rFonts w:cs="Arial"/>
        </w:rPr>
        <w:lastRenderedPageBreak/>
        <w:t>Druhou možností je využití čpavku jako přenašeče vodíku pro palivový článek. Této variantě je nejvíce pozornosti věnováno v</w:t>
      </w:r>
      <w:r w:rsidR="00546698">
        <w:rPr>
          <w:rFonts w:cs="Arial"/>
        </w:rPr>
        <w:t> </w:t>
      </w:r>
      <w:r w:rsidRPr="00C969EA">
        <w:rPr>
          <w:rFonts w:cs="Arial"/>
        </w:rPr>
        <w:t>Japonsku. Toyota představila plán na vybudování vodíkové ekonomiky v</w:t>
      </w:r>
      <w:r w:rsidR="00546698">
        <w:rPr>
          <w:rFonts w:cs="Arial"/>
        </w:rPr>
        <w:t> </w:t>
      </w:r>
      <w:r w:rsidRPr="00C969EA">
        <w:rPr>
          <w:rFonts w:cs="Arial"/>
        </w:rPr>
        <w:t>regionu, kde je její hlavní sídlo. Součástí plánu je i</w:t>
      </w:r>
      <w:r w:rsidR="00546698">
        <w:rPr>
          <w:rFonts w:cs="Arial"/>
        </w:rPr>
        <w:t> </w:t>
      </w:r>
      <w:r w:rsidRPr="00C969EA">
        <w:rPr>
          <w:rFonts w:cs="Arial"/>
        </w:rPr>
        <w:t>nasazení amoniaku jako přenašeče vodíku pro palivové články jak v</w:t>
      </w:r>
      <w:r w:rsidR="00546698">
        <w:rPr>
          <w:rFonts w:cs="Arial"/>
        </w:rPr>
        <w:t> </w:t>
      </w:r>
      <w:r w:rsidRPr="00C969EA">
        <w:rPr>
          <w:rFonts w:cs="Arial"/>
        </w:rPr>
        <w:t>dopravě, tak při energetickém zásobování domácností. Australská Commonwealth Scientific and Industrial Research Organisation naopak testuje vodíkovou čerpací stanici, na kterou je vodík dodáván v</w:t>
      </w:r>
      <w:r w:rsidR="00546698">
        <w:rPr>
          <w:rFonts w:cs="Arial"/>
        </w:rPr>
        <w:t> </w:t>
      </w:r>
      <w:r w:rsidRPr="00C969EA">
        <w:rPr>
          <w:rFonts w:cs="Arial"/>
        </w:rPr>
        <w:t>podobě čpavku a</w:t>
      </w:r>
      <w:r w:rsidR="00546698">
        <w:rPr>
          <w:rFonts w:cs="Arial"/>
        </w:rPr>
        <w:t> </w:t>
      </w:r>
      <w:r w:rsidRPr="00C969EA">
        <w:rPr>
          <w:rFonts w:cs="Arial"/>
        </w:rPr>
        <w:t>k</w:t>
      </w:r>
      <w:r>
        <w:rPr>
          <w:rFonts w:cs="Arial"/>
        </w:rPr>
        <w:t> </w:t>
      </w:r>
      <w:r w:rsidRPr="00C969EA">
        <w:rPr>
          <w:rFonts w:cs="Arial"/>
        </w:rPr>
        <w:t>jeho konverzi dochází až při tankování vozidla. Výhodou tohoto procesu je úspora nákladů na distribuci a</w:t>
      </w:r>
      <w:r w:rsidR="00546698">
        <w:rPr>
          <w:rFonts w:cs="Arial"/>
        </w:rPr>
        <w:t> </w:t>
      </w:r>
      <w:r w:rsidRPr="00C969EA">
        <w:rPr>
          <w:rFonts w:cs="Arial"/>
        </w:rPr>
        <w:t>skladování vodíku na jedné straně a</w:t>
      </w:r>
      <w:r w:rsidR="00546698">
        <w:rPr>
          <w:rFonts w:cs="Arial"/>
        </w:rPr>
        <w:t> </w:t>
      </w:r>
      <w:r w:rsidRPr="00C969EA">
        <w:rPr>
          <w:rFonts w:cs="Arial"/>
        </w:rPr>
        <w:t>využití „klasického“ vodíkového vozu na straně druhé.</w:t>
      </w:r>
    </w:p>
    <w:p w14:paraId="54B58728" w14:textId="77777777" w:rsidR="001B4719" w:rsidRPr="00C969EA" w:rsidRDefault="001B4719" w:rsidP="001B4719">
      <w:pPr>
        <w:jc w:val="both"/>
        <w:rPr>
          <w:b/>
        </w:rPr>
      </w:pPr>
      <w:r w:rsidRPr="00C969EA">
        <w:rPr>
          <w:b/>
        </w:rPr>
        <w:t>Výhody a</w:t>
      </w:r>
      <w:r w:rsidR="00546698">
        <w:rPr>
          <w:b/>
        </w:rPr>
        <w:t> </w:t>
      </w:r>
      <w:r w:rsidRPr="00C969EA">
        <w:rPr>
          <w:b/>
        </w:rPr>
        <w:t>nevýhody</w:t>
      </w:r>
    </w:p>
    <w:p w14:paraId="530EF3B4" w14:textId="77777777" w:rsidR="001B4719" w:rsidRPr="0050685D" w:rsidRDefault="001B4719" w:rsidP="001B4719">
      <w:pPr>
        <w:jc w:val="both"/>
        <w:rPr>
          <w:rFonts w:cstheme="minorHAnsi"/>
        </w:rPr>
      </w:pPr>
      <w:r w:rsidRPr="0050685D">
        <w:rPr>
          <w:rFonts w:cstheme="minorHAnsi"/>
        </w:rPr>
        <w:t>Ve srovnání s</w:t>
      </w:r>
      <w:r w:rsidR="00546698">
        <w:rPr>
          <w:rFonts w:cstheme="minorHAnsi"/>
        </w:rPr>
        <w:t> </w:t>
      </w:r>
      <w:r w:rsidRPr="0050685D">
        <w:rPr>
          <w:rFonts w:cstheme="minorHAnsi"/>
        </w:rPr>
        <w:t>přímým využitím elektrické energie je účinnost čpavkových technologií samozřejmě nižší. Oproti distribuci rozvodnou sítí totiž přibývá náklad na syntézu čpavku a</w:t>
      </w:r>
      <w:r w:rsidR="00546698">
        <w:rPr>
          <w:rFonts w:cstheme="minorHAnsi"/>
        </w:rPr>
        <w:t> </w:t>
      </w:r>
      <w:r w:rsidRPr="0050685D">
        <w:rPr>
          <w:rFonts w:cstheme="minorHAnsi"/>
        </w:rPr>
        <w:t>ve</w:t>
      </w:r>
      <w:r>
        <w:rPr>
          <w:rFonts w:cstheme="minorHAnsi"/>
        </w:rPr>
        <w:t> </w:t>
      </w:r>
      <w:r w:rsidRPr="0050685D">
        <w:rPr>
          <w:rFonts w:cstheme="minorHAnsi"/>
        </w:rPr>
        <w:t>voze před využitím v</w:t>
      </w:r>
      <w:r w:rsidR="00546698">
        <w:rPr>
          <w:rFonts w:cstheme="minorHAnsi"/>
        </w:rPr>
        <w:t> </w:t>
      </w:r>
      <w:r w:rsidRPr="0050685D">
        <w:rPr>
          <w:rFonts w:cstheme="minorHAnsi"/>
        </w:rPr>
        <w:t>palivovém článku musí naopak dojít jeho rozkladu. Ve srovnání s</w:t>
      </w:r>
      <w:r w:rsidR="00546698">
        <w:rPr>
          <w:rFonts w:cstheme="minorHAnsi"/>
        </w:rPr>
        <w:t> </w:t>
      </w:r>
      <w:r w:rsidRPr="0050685D">
        <w:rPr>
          <w:rFonts w:cstheme="minorHAnsi"/>
        </w:rPr>
        <w:t>vodíkovými technologiemi také v</w:t>
      </w:r>
      <w:r w:rsidR="00546698">
        <w:rPr>
          <w:rFonts w:cstheme="minorHAnsi"/>
        </w:rPr>
        <w:t> </w:t>
      </w:r>
      <w:r w:rsidRPr="0050685D">
        <w:rPr>
          <w:rFonts w:cstheme="minorHAnsi"/>
        </w:rPr>
        <w:t>účinnosti mírně zaostává, ale – již nyní je k</w:t>
      </w:r>
      <w:r w:rsidR="00546698">
        <w:rPr>
          <w:rFonts w:cstheme="minorHAnsi"/>
        </w:rPr>
        <w:t> </w:t>
      </w:r>
      <w:r w:rsidRPr="0050685D">
        <w:rPr>
          <w:rFonts w:cstheme="minorHAnsi"/>
        </w:rPr>
        <w:t>dispozici jednoduchá výrobní metoda, čpavek umíme snadno přepravovat, skladovat i</w:t>
      </w:r>
      <w:r w:rsidR="00546698">
        <w:rPr>
          <w:rFonts w:cstheme="minorHAnsi"/>
        </w:rPr>
        <w:t> </w:t>
      </w:r>
      <w:r w:rsidRPr="0050685D">
        <w:rPr>
          <w:rFonts w:cstheme="minorHAnsi"/>
        </w:rPr>
        <w:t>plnit do vozů, přičemž obsah energie na jednotku objemu je asi o</w:t>
      </w:r>
      <w:r w:rsidR="00546698">
        <w:rPr>
          <w:rFonts w:cstheme="minorHAnsi"/>
        </w:rPr>
        <w:t> </w:t>
      </w:r>
      <w:r w:rsidRPr="0050685D">
        <w:rPr>
          <w:rFonts w:cstheme="minorHAnsi"/>
        </w:rPr>
        <w:t>50 % vyšší než u</w:t>
      </w:r>
      <w:r w:rsidR="00546698">
        <w:rPr>
          <w:rFonts w:cstheme="minorHAnsi"/>
        </w:rPr>
        <w:t> </w:t>
      </w:r>
      <w:r w:rsidRPr="0050685D">
        <w:rPr>
          <w:rFonts w:cstheme="minorHAnsi"/>
        </w:rPr>
        <w:t>vodíku.</w:t>
      </w:r>
    </w:p>
    <w:p w14:paraId="7FA828FD" w14:textId="77777777" w:rsidR="006A06F0" w:rsidRDefault="006A06F0" w:rsidP="006A06F0">
      <w:pPr>
        <w:pStyle w:val="Titulek"/>
        <w:keepNext/>
      </w:pPr>
      <w:bookmarkStart w:id="572" w:name="_Toc34295874"/>
      <w:r>
        <w:t xml:space="preserve">Tabulka </w:t>
      </w:r>
      <w:r w:rsidR="001614BC">
        <w:rPr>
          <w:noProof/>
        </w:rPr>
        <w:fldChar w:fldCharType="begin"/>
      </w:r>
      <w:r w:rsidR="001614BC">
        <w:rPr>
          <w:noProof/>
        </w:rPr>
        <w:instrText xml:space="preserve"> SEQ Tabulka \* ARABIC </w:instrText>
      </w:r>
      <w:r w:rsidR="001614BC">
        <w:rPr>
          <w:noProof/>
        </w:rPr>
        <w:fldChar w:fldCharType="separate"/>
      </w:r>
      <w:r w:rsidR="00DF768A">
        <w:rPr>
          <w:noProof/>
        </w:rPr>
        <w:t>15</w:t>
      </w:r>
      <w:r w:rsidR="001614BC">
        <w:rPr>
          <w:noProof/>
        </w:rPr>
        <w:fldChar w:fldCharType="end"/>
      </w:r>
      <w:r w:rsidRPr="006A06F0">
        <w:t xml:space="preserve"> </w:t>
      </w:r>
      <w:r w:rsidRPr="00C969EA">
        <w:t>Porovnání charakteristik čpavku, metanu a</w:t>
      </w:r>
      <w:r w:rsidR="00546698">
        <w:t> </w:t>
      </w:r>
      <w:r w:rsidRPr="00C969EA">
        <w:t>vodíku</w:t>
      </w:r>
      <w:bookmarkEnd w:id="572"/>
    </w:p>
    <w:tbl>
      <w:tblPr>
        <w:tblW w:w="4924"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140"/>
        <w:gridCol w:w="1785"/>
        <w:gridCol w:w="1779"/>
        <w:gridCol w:w="1758"/>
      </w:tblGrid>
      <w:tr w:rsidR="001B4719" w14:paraId="769DC849" w14:textId="77777777" w:rsidTr="000050AA">
        <w:trPr>
          <w:tblHeader/>
        </w:trPr>
        <w:tc>
          <w:tcPr>
            <w:tcW w:w="2188" w:type="pct"/>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713961A0" w14:textId="77777777" w:rsidR="001B4719" w:rsidRPr="00685433" w:rsidRDefault="001B4719" w:rsidP="000050AA">
            <w:pPr>
              <w:jc w:val="both"/>
              <w:rPr>
                <w:b/>
                <w:color w:val="FFFFFF" w:themeColor="background1"/>
              </w:rPr>
            </w:pPr>
          </w:p>
        </w:tc>
        <w:tc>
          <w:tcPr>
            <w:tcW w:w="943" w:type="pct"/>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416330BC" w14:textId="77777777" w:rsidR="001B4719" w:rsidRPr="00985680" w:rsidRDefault="001B4719" w:rsidP="000050AA">
            <w:pPr>
              <w:jc w:val="both"/>
              <w:rPr>
                <w:b/>
                <w:color w:val="FFFFFF" w:themeColor="background1"/>
              </w:rPr>
            </w:pPr>
            <w:r w:rsidRPr="00985680">
              <w:rPr>
                <w:b/>
                <w:color w:val="FFFFFF" w:themeColor="background1"/>
              </w:rPr>
              <w:t>Zkapalněný vodík (H2)</w:t>
            </w:r>
          </w:p>
        </w:tc>
        <w:tc>
          <w:tcPr>
            <w:tcW w:w="940" w:type="pct"/>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15516EA5" w14:textId="77777777" w:rsidR="001B4719" w:rsidRPr="00985680" w:rsidRDefault="001B4719" w:rsidP="000050AA">
            <w:pPr>
              <w:jc w:val="both"/>
              <w:rPr>
                <w:b/>
                <w:color w:val="FFFFFF" w:themeColor="background1"/>
              </w:rPr>
            </w:pPr>
            <w:r w:rsidRPr="00985680">
              <w:rPr>
                <w:b/>
                <w:color w:val="FFFFFF" w:themeColor="background1"/>
              </w:rPr>
              <w:t>Amoniak (NH3)</w:t>
            </w:r>
          </w:p>
        </w:tc>
        <w:tc>
          <w:tcPr>
            <w:tcW w:w="929" w:type="pct"/>
            <w:tcBorders>
              <w:top w:val="single" w:sz="12" w:space="0" w:color="auto"/>
              <w:left w:val="single" w:sz="12" w:space="0" w:color="auto"/>
              <w:bottom w:val="single" w:sz="12" w:space="0" w:color="auto"/>
              <w:right w:val="single" w:sz="12" w:space="0" w:color="auto"/>
            </w:tcBorders>
            <w:shd w:val="clear" w:color="auto" w:fill="2196FF" w:themeFill="text2" w:themeFillTint="99"/>
            <w:vAlign w:val="center"/>
          </w:tcPr>
          <w:p w14:paraId="700E7B51" w14:textId="77777777" w:rsidR="001B4719" w:rsidRPr="00985680" w:rsidRDefault="001B4719" w:rsidP="000050AA">
            <w:pPr>
              <w:jc w:val="both"/>
              <w:rPr>
                <w:b/>
                <w:color w:val="FFFFFF" w:themeColor="background1"/>
              </w:rPr>
            </w:pPr>
            <w:r w:rsidRPr="00985680">
              <w:rPr>
                <w:b/>
                <w:color w:val="FFFFFF" w:themeColor="background1"/>
              </w:rPr>
              <w:t>Zkapalněný metan (LNG) (CH4)</w:t>
            </w:r>
          </w:p>
        </w:tc>
      </w:tr>
      <w:tr w:rsidR="001B4719" w14:paraId="2161468A" w14:textId="77777777" w:rsidTr="000050AA">
        <w:trPr>
          <w:trHeight w:val="227"/>
        </w:trPr>
        <w:tc>
          <w:tcPr>
            <w:tcW w:w="2188" w:type="pct"/>
            <w:tcBorders>
              <w:top w:val="single" w:sz="12" w:space="0" w:color="auto"/>
              <w:left w:val="single" w:sz="12" w:space="0" w:color="auto"/>
              <w:right w:val="single" w:sz="12" w:space="0" w:color="auto"/>
            </w:tcBorders>
            <w:vAlign w:val="center"/>
          </w:tcPr>
          <w:p w14:paraId="1E198E16" w14:textId="77777777" w:rsidR="001B4719" w:rsidRPr="00D2579D" w:rsidRDefault="001B4719" w:rsidP="000050AA">
            <w:pPr>
              <w:spacing w:before="60" w:after="60"/>
              <w:jc w:val="both"/>
            </w:pPr>
            <w:r w:rsidRPr="00D2579D">
              <w:t>Bod varu (°C)</w:t>
            </w:r>
          </w:p>
        </w:tc>
        <w:tc>
          <w:tcPr>
            <w:tcW w:w="943" w:type="pct"/>
            <w:tcBorders>
              <w:top w:val="single" w:sz="12" w:space="0" w:color="auto"/>
              <w:left w:val="single" w:sz="12" w:space="0" w:color="auto"/>
              <w:right w:val="single" w:sz="12" w:space="0" w:color="auto"/>
            </w:tcBorders>
            <w:vAlign w:val="center"/>
          </w:tcPr>
          <w:p w14:paraId="556C9551" w14:textId="77777777" w:rsidR="001B4719" w:rsidRPr="00776EAF" w:rsidRDefault="001B4719" w:rsidP="000050AA">
            <w:pPr>
              <w:spacing w:before="60" w:after="60"/>
              <w:jc w:val="both"/>
            </w:pPr>
            <w:r w:rsidRPr="00776EAF">
              <w:t>-253</w:t>
            </w:r>
          </w:p>
        </w:tc>
        <w:tc>
          <w:tcPr>
            <w:tcW w:w="940" w:type="pct"/>
            <w:tcBorders>
              <w:top w:val="single" w:sz="12" w:space="0" w:color="auto"/>
              <w:left w:val="single" w:sz="12" w:space="0" w:color="auto"/>
              <w:right w:val="single" w:sz="12" w:space="0" w:color="auto"/>
            </w:tcBorders>
            <w:vAlign w:val="center"/>
          </w:tcPr>
          <w:p w14:paraId="41A92E86" w14:textId="77777777" w:rsidR="001B4719" w:rsidRPr="00776EAF" w:rsidRDefault="001B4719" w:rsidP="000050AA">
            <w:pPr>
              <w:spacing w:before="60" w:after="60"/>
              <w:jc w:val="both"/>
            </w:pPr>
            <w:r w:rsidRPr="00776EAF">
              <w:t>-33</w:t>
            </w:r>
          </w:p>
        </w:tc>
        <w:tc>
          <w:tcPr>
            <w:tcW w:w="929" w:type="pct"/>
            <w:tcBorders>
              <w:top w:val="single" w:sz="12" w:space="0" w:color="auto"/>
              <w:left w:val="single" w:sz="12" w:space="0" w:color="auto"/>
              <w:right w:val="single" w:sz="12" w:space="0" w:color="auto"/>
            </w:tcBorders>
            <w:vAlign w:val="center"/>
          </w:tcPr>
          <w:p w14:paraId="126AAC50" w14:textId="77777777" w:rsidR="001B4719" w:rsidRPr="00776EAF" w:rsidRDefault="001B4719" w:rsidP="000050AA">
            <w:pPr>
              <w:spacing w:before="60" w:after="60"/>
              <w:jc w:val="both"/>
            </w:pPr>
            <w:r w:rsidRPr="00776EAF">
              <w:t>-162</w:t>
            </w:r>
          </w:p>
        </w:tc>
      </w:tr>
      <w:tr w:rsidR="001B4719" w14:paraId="1370394D" w14:textId="77777777" w:rsidTr="000050AA">
        <w:trPr>
          <w:trHeight w:val="227"/>
        </w:trPr>
        <w:tc>
          <w:tcPr>
            <w:tcW w:w="2188" w:type="pct"/>
            <w:tcBorders>
              <w:left w:val="single" w:sz="12" w:space="0" w:color="auto"/>
              <w:right w:val="single" w:sz="12" w:space="0" w:color="auto"/>
            </w:tcBorders>
            <w:vAlign w:val="center"/>
          </w:tcPr>
          <w:p w14:paraId="2BDBEEEE" w14:textId="77777777" w:rsidR="001B4719" w:rsidRPr="00D2579D" w:rsidRDefault="001B4719" w:rsidP="000050AA">
            <w:pPr>
              <w:spacing w:before="60" w:after="60"/>
              <w:jc w:val="both"/>
            </w:pPr>
            <w:r w:rsidRPr="00D2579D">
              <w:t>Hustota energie (MJe/m3)</w:t>
            </w:r>
          </w:p>
        </w:tc>
        <w:tc>
          <w:tcPr>
            <w:tcW w:w="943" w:type="pct"/>
            <w:tcBorders>
              <w:left w:val="single" w:sz="12" w:space="0" w:color="auto"/>
              <w:right w:val="single" w:sz="12" w:space="0" w:color="auto"/>
            </w:tcBorders>
            <w:vAlign w:val="center"/>
          </w:tcPr>
          <w:p w14:paraId="2F69EF49" w14:textId="77777777" w:rsidR="001B4719" w:rsidRPr="00776EAF" w:rsidRDefault="001B4719" w:rsidP="000050AA">
            <w:pPr>
              <w:spacing w:before="60" w:after="60"/>
              <w:jc w:val="both"/>
            </w:pPr>
            <w:r w:rsidRPr="00776EAF">
              <w:t>4.800</w:t>
            </w:r>
          </w:p>
        </w:tc>
        <w:tc>
          <w:tcPr>
            <w:tcW w:w="940" w:type="pct"/>
            <w:tcBorders>
              <w:left w:val="single" w:sz="12" w:space="0" w:color="auto"/>
              <w:right w:val="single" w:sz="12" w:space="0" w:color="auto"/>
            </w:tcBorders>
            <w:vAlign w:val="center"/>
          </w:tcPr>
          <w:p w14:paraId="0E0DA0A9" w14:textId="77777777" w:rsidR="001B4719" w:rsidRPr="00776EAF" w:rsidRDefault="001B4719" w:rsidP="000050AA">
            <w:pPr>
              <w:spacing w:before="60" w:after="60"/>
              <w:jc w:val="both"/>
            </w:pPr>
            <w:r w:rsidRPr="00776EAF">
              <w:t>6.800</w:t>
            </w:r>
          </w:p>
        </w:tc>
        <w:tc>
          <w:tcPr>
            <w:tcW w:w="929" w:type="pct"/>
            <w:tcBorders>
              <w:left w:val="single" w:sz="12" w:space="0" w:color="auto"/>
              <w:right w:val="single" w:sz="12" w:space="0" w:color="auto"/>
            </w:tcBorders>
            <w:vAlign w:val="center"/>
          </w:tcPr>
          <w:p w14:paraId="3BD91E67" w14:textId="77777777" w:rsidR="001B4719" w:rsidRPr="00776EAF" w:rsidRDefault="001B4719" w:rsidP="000050AA">
            <w:pPr>
              <w:spacing w:before="60" w:after="60"/>
              <w:jc w:val="both"/>
            </w:pPr>
            <w:r w:rsidRPr="00776EAF">
              <w:t>11.400</w:t>
            </w:r>
          </w:p>
        </w:tc>
      </w:tr>
      <w:tr w:rsidR="001B4719" w14:paraId="054F3293" w14:textId="77777777" w:rsidTr="000050AA">
        <w:trPr>
          <w:trHeight w:val="227"/>
        </w:trPr>
        <w:tc>
          <w:tcPr>
            <w:tcW w:w="2188" w:type="pct"/>
            <w:tcBorders>
              <w:left w:val="single" w:sz="12" w:space="0" w:color="auto"/>
              <w:right w:val="single" w:sz="12" w:space="0" w:color="auto"/>
            </w:tcBorders>
            <w:vAlign w:val="center"/>
          </w:tcPr>
          <w:p w14:paraId="5352F751" w14:textId="77777777" w:rsidR="001B4719" w:rsidRPr="00D2579D" w:rsidRDefault="001B4719" w:rsidP="000050AA">
            <w:pPr>
              <w:spacing w:before="60" w:after="60"/>
              <w:jc w:val="both"/>
            </w:pPr>
            <w:r w:rsidRPr="00D2579D">
              <w:t>Ztráta při skladování (%/6 měsíců)</w:t>
            </w:r>
          </w:p>
        </w:tc>
        <w:tc>
          <w:tcPr>
            <w:tcW w:w="943" w:type="pct"/>
            <w:tcBorders>
              <w:left w:val="single" w:sz="12" w:space="0" w:color="auto"/>
              <w:right w:val="single" w:sz="12" w:space="0" w:color="auto"/>
            </w:tcBorders>
            <w:vAlign w:val="center"/>
          </w:tcPr>
          <w:p w14:paraId="30E6CF0B" w14:textId="77777777" w:rsidR="001B4719" w:rsidRPr="00776EAF" w:rsidRDefault="001B4719" w:rsidP="000050AA">
            <w:pPr>
              <w:spacing w:before="60" w:after="60"/>
              <w:jc w:val="both"/>
            </w:pPr>
            <w:r w:rsidRPr="00776EAF">
              <w:t>5,5</w:t>
            </w:r>
          </w:p>
        </w:tc>
        <w:tc>
          <w:tcPr>
            <w:tcW w:w="940" w:type="pct"/>
            <w:tcBorders>
              <w:left w:val="single" w:sz="12" w:space="0" w:color="auto"/>
              <w:right w:val="single" w:sz="12" w:space="0" w:color="auto"/>
            </w:tcBorders>
            <w:vAlign w:val="center"/>
          </w:tcPr>
          <w:p w14:paraId="21A1B310" w14:textId="77777777" w:rsidR="001B4719" w:rsidRPr="00776EAF" w:rsidRDefault="001B4719" w:rsidP="000050AA">
            <w:pPr>
              <w:spacing w:before="60" w:after="60"/>
              <w:jc w:val="both"/>
            </w:pPr>
            <w:r w:rsidRPr="00776EAF">
              <w:t>0,6</w:t>
            </w:r>
          </w:p>
        </w:tc>
        <w:tc>
          <w:tcPr>
            <w:tcW w:w="929" w:type="pct"/>
            <w:tcBorders>
              <w:left w:val="single" w:sz="12" w:space="0" w:color="auto"/>
              <w:right w:val="single" w:sz="12" w:space="0" w:color="auto"/>
            </w:tcBorders>
            <w:vAlign w:val="center"/>
          </w:tcPr>
          <w:p w14:paraId="535F2D06" w14:textId="77777777" w:rsidR="001B4719" w:rsidRPr="00776EAF" w:rsidRDefault="001B4719" w:rsidP="000050AA">
            <w:pPr>
              <w:spacing w:before="60" w:after="60"/>
              <w:jc w:val="both"/>
            </w:pPr>
            <w:r w:rsidRPr="00776EAF">
              <w:t>3,0</w:t>
            </w:r>
          </w:p>
        </w:tc>
      </w:tr>
      <w:tr w:rsidR="001B4719" w14:paraId="1492E9BC" w14:textId="77777777" w:rsidTr="000050AA">
        <w:trPr>
          <w:trHeight w:val="227"/>
        </w:trPr>
        <w:tc>
          <w:tcPr>
            <w:tcW w:w="2188" w:type="pct"/>
            <w:tcBorders>
              <w:left w:val="single" w:sz="12" w:space="0" w:color="auto"/>
              <w:right w:val="single" w:sz="12" w:space="0" w:color="auto"/>
            </w:tcBorders>
            <w:vAlign w:val="center"/>
          </w:tcPr>
          <w:p w14:paraId="4A53DA63" w14:textId="77777777" w:rsidR="001B4719" w:rsidRPr="00D2579D" w:rsidRDefault="001B4719" w:rsidP="000050AA">
            <w:pPr>
              <w:spacing w:before="60" w:after="60"/>
              <w:jc w:val="both"/>
            </w:pPr>
            <w:r w:rsidRPr="00D2579D">
              <w:t>P2P účinnost (%)</w:t>
            </w:r>
          </w:p>
        </w:tc>
        <w:tc>
          <w:tcPr>
            <w:tcW w:w="943" w:type="pct"/>
            <w:tcBorders>
              <w:left w:val="single" w:sz="12" w:space="0" w:color="auto"/>
              <w:right w:val="single" w:sz="12" w:space="0" w:color="auto"/>
            </w:tcBorders>
            <w:vAlign w:val="center"/>
          </w:tcPr>
          <w:p w14:paraId="0DEDEF85" w14:textId="77777777" w:rsidR="001B4719" w:rsidRPr="00776EAF" w:rsidRDefault="001B4719" w:rsidP="000050AA">
            <w:pPr>
              <w:spacing w:before="60" w:after="60"/>
              <w:jc w:val="both"/>
            </w:pPr>
            <w:r w:rsidRPr="00776EAF">
              <w:t>34</w:t>
            </w:r>
          </w:p>
        </w:tc>
        <w:tc>
          <w:tcPr>
            <w:tcW w:w="940" w:type="pct"/>
            <w:tcBorders>
              <w:left w:val="single" w:sz="12" w:space="0" w:color="auto"/>
              <w:right w:val="single" w:sz="12" w:space="0" w:color="auto"/>
            </w:tcBorders>
            <w:vAlign w:val="center"/>
          </w:tcPr>
          <w:p w14:paraId="7C0A75D6" w14:textId="77777777" w:rsidR="001B4719" w:rsidRPr="00776EAF" w:rsidRDefault="001B4719" w:rsidP="000050AA">
            <w:pPr>
              <w:spacing w:before="60" w:after="60"/>
              <w:jc w:val="both"/>
            </w:pPr>
            <w:r w:rsidRPr="00776EAF">
              <w:t>30 až 39</w:t>
            </w:r>
          </w:p>
        </w:tc>
        <w:tc>
          <w:tcPr>
            <w:tcW w:w="929" w:type="pct"/>
            <w:tcBorders>
              <w:left w:val="single" w:sz="12" w:space="0" w:color="auto"/>
              <w:right w:val="single" w:sz="12" w:space="0" w:color="auto"/>
            </w:tcBorders>
            <w:vAlign w:val="center"/>
          </w:tcPr>
          <w:p w14:paraId="38579F9C" w14:textId="77777777" w:rsidR="001B4719" w:rsidRPr="00776EAF" w:rsidRDefault="001B4719" w:rsidP="000050AA">
            <w:pPr>
              <w:spacing w:before="60" w:after="60"/>
              <w:jc w:val="both"/>
            </w:pPr>
            <w:r w:rsidRPr="00776EAF">
              <w:t>28</w:t>
            </w:r>
          </w:p>
        </w:tc>
      </w:tr>
      <w:tr w:rsidR="001B4719" w14:paraId="4431DBFB" w14:textId="77777777" w:rsidTr="000050AA">
        <w:trPr>
          <w:trHeight w:val="227"/>
        </w:trPr>
        <w:tc>
          <w:tcPr>
            <w:tcW w:w="2188" w:type="pct"/>
            <w:tcBorders>
              <w:left w:val="single" w:sz="12" w:space="0" w:color="auto"/>
              <w:right w:val="single" w:sz="12" w:space="0" w:color="auto"/>
            </w:tcBorders>
            <w:vAlign w:val="center"/>
          </w:tcPr>
          <w:p w14:paraId="631D7E67" w14:textId="77777777" w:rsidR="001B4719" w:rsidRDefault="001B4719" w:rsidP="000050AA">
            <w:pPr>
              <w:spacing w:before="60" w:after="60"/>
              <w:jc w:val="both"/>
            </w:pPr>
            <w:r>
              <w:t>Ri</w:t>
            </w:r>
            <w:r w:rsidRPr="00D2579D">
              <w:t>ziko</w:t>
            </w:r>
          </w:p>
        </w:tc>
        <w:tc>
          <w:tcPr>
            <w:tcW w:w="943" w:type="pct"/>
            <w:tcBorders>
              <w:left w:val="single" w:sz="12" w:space="0" w:color="auto"/>
              <w:right w:val="single" w:sz="12" w:space="0" w:color="auto"/>
            </w:tcBorders>
            <w:vAlign w:val="center"/>
          </w:tcPr>
          <w:p w14:paraId="7D871C97" w14:textId="77777777" w:rsidR="001B4719" w:rsidRPr="00776EAF" w:rsidRDefault="001B4719" w:rsidP="000050AA">
            <w:pPr>
              <w:spacing w:before="60" w:after="60"/>
              <w:jc w:val="both"/>
            </w:pPr>
            <w:r w:rsidRPr="00776EAF">
              <w:t>Explozivní, kryogenní</w:t>
            </w:r>
          </w:p>
        </w:tc>
        <w:tc>
          <w:tcPr>
            <w:tcW w:w="940" w:type="pct"/>
            <w:tcBorders>
              <w:left w:val="single" w:sz="12" w:space="0" w:color="auto"/>
              <w:right w:val="single" w:sz="12" w:space="0" w:color="auto"/>
            </w:tcBorders>
            <w:vAlign w:val="center"/>
          </w:tcPr>
          <w:p w14:paraId="4360D1A1" w14:textId="77777777" w:rsidR="001B4719" w:rsidRPr="00776EAF" w:rsidRDefault="001B4719" w:rsidP="000050AA">
            <w:pPr>
              <w:spacing w:before="60" w:after="60"/>
              <w:jc w:val="both"/>
            </w:pPr>
            <w:r>
              <w:t>T</w:t>
            </w:r>
            <w:r w:rsidRPr="00776EAF">
              <w:t>oxický</w:t>
            </w:r>
          </w:p>
        </w:tc>
        <w:tc>
          <w:tcPr>
            <w:tcW w:w="929" w:type="pct"/>
            <w:tcBorders>
              <w:left w:val="single" w:sz="12" w:space="0" w:color="auto"/>
              <w:right w:val="single" w:sz="12" w:space="0" w:color="auto"/>
            </w:tcBorders>
            <w:vAlign w:val="center"/>
          </w:tcPr>
          <w:p w14:paraId="7456E23B" w14:textId="77777777" w:rsidR="001B4719" w:rsidRDefault="001B4719" w:rsidP="000050AA">
            <w:pPr>
              <w:spacing w:before="60" w:after="60"/>
              <w:jc w:val="both"/>
            </w:pPr>
            <w:r w:rsidRPr="00776EAF">
              <w:t>Explozivní, kryogenní</w:t>
            </w:r>
          </w:p>
        </w:tc>
      </w:tr>
    </w:tbl>
    <w:p w14:paraId="47D11169" w14:textId="77777777" w:rsidR="001B4719" w:rsidRPr="0050685D" w:rsidRDefault="001B4719" w:rsidP="001B4719">
      <w:pPr>
        <w:jc w:val="both"/>
        <w:rPr>
          <w:rFonts w:asciiTheme="majorHAnsi" w:hAnsiTheme="majorHAnsi" w:cstheme="minorHAnsi"/>
          <w:szCs w:val="22"/>
        </w:rPr>
      </w:pPr>
      <w:r w:rsidRPr="0050685D">
        <w:t xml:space="preserve">Zdroj: </w:t>
      </w:r>
      <w:r>
        <w:t>Cerulogy</w:t>
      </w:r>
    </w:p>
    <w:p w14:paraId="3A95D232" w14:textId="77777777" w:rsidR="001B4719" w:rsidRPr="0050685D" w:rsidRDefault="001B4719" w:rsidP="001B4719">
      <w:pPr>
        <w:jc w:val="both"/>
      </w:pPr>
      <w:r w:rsidRPr="0050685D">
        <w:t>Další výhodou je možnost výroby v</w:t>
      </w:r>
      <w:r w:rsidR="00546698">
        <w:t> </w:t>
      </w:r>
      <w:r w:rsidRPr="0050685D">
        <w:t>malých lokálních výrobních jednotkách, což snižuje zejména náklady na distribuci. Produkce nemusí probíhat v</w:t>
      </w:r>
      <w:r w:rsidR="00546698">
        <w:t> </w:t>
      </w:r>
      <w:r w:rsidRPr="0050685D">
        <w:t>nepřetržitém procesu, je možno ji spouštět v</w:t>
      </w:r>
      <w:r w:rsidR="00546698">
        <w:t> </w:t>
      </w:r>
      <w:r w:rsidRPr="0050685D">
        <w:t>okamžicích, kdy je v</w:t>
      </w:r>
      <w:r w:rsidR="00546698">
        <w:t> </w:t>
      </w:r>
      <w:r w:rsidRPr="0050685D">
        <w:t>síti nadbytek elektrické energie (ekonomice systému samozřejmě pomáhá nákup elektřiny za zápornou cenu).</w:t>
      </w:r>
    </w:p>
    <w:p w14:paraId="20AD94F8" w14:textId="77777777" w:rsidR="001B4719" w:rsidRPr="0050685D" w:rsidRDefault="001B4719" w:rsidP="001B4719">
      <w:pPr>
        <w:jc w:val="both"/>
      </w:pPr>
      <w:r w:rsidRPr="0050685D">
        <w:t>Rizikem širšího využití čpavku je jeho toxicita. Toto riziko však není nutno přeceňovat, protože čpavek je poměrně rozšířeným produktem a</w:t>
      </w:r>
      <w:r w:rsidR="00546698">
        <w:t> </w:t>
      </w:r>
      <w:r w:rsidRPr="0050685D">
        <w:t>s</w:t>
      </w:r>
      <w:r>
        <w:t> </w:t>
      </w:r>
      <w:r w:rsidRPr="0050685D">
        <w:t>jeho využitím, skladováním a</w:t>
      </w:r>
      <w:r w:rsidR="00546698">
        <w:t> </w:t>
      </w:r>
      <w:r w:rsidRPr="0050685D">
        <w:t>přepravou jsou již značné a</w:t>
      </w:r>
      <w:r w:rsidR="00546698">
        <w:t> </w:t>
      </w:r>
      <w:r w:rsidRPr="0050685D">
        <w:t>dlouhodobé zkušenosti.</w:t>
      </w:r>
    </w:p>
    <w:p w14:paraId="3E38A88A" w14:textId="77777777" w:rsidR="001B4719" w:rsidRPr="0050685D" w:rsidRDefault="001B4719" w:rsidP="001B4719">
      <w:pPr>
        <w:jc w:val="both"/>
      </w:pPr>
      <w:r w:rsidRPr="0050685D">
        <w:t>Ve srovnání s</w:t>
      </w:r>
      <w:r w:rsidR="00546698">
        <w:t> </w:t>
      </w:r>
      <w:r w:rsidRPr="0050685D">
        <w:t xml:space="preserve">„konkurenty“, tedy syntetickým </w:t>
      </w:r>
      <w:r>
        <w:t>metan</w:t>
      </w:r>
      <w:r w:rsidRPr="0050685D">
        <w:t>em a</w:t>
      </w:r>
      <w:r w:rsidR="00546698">
        <w:t> </w:t>
      </w:r>
      <w:r w:rsidRPr="0050685D">
        <w:t>vodíkem má čpavek nižší náklady na</w:t>
      </w:r>
      <w:r>
        <w:t> </w:t>
      </w:r>
      <w:r w:rsidRPr="0050685D">
        <w:t>transport a</w:t>
      </w:r>
      <w:r w:rsidR="00546698">
        <w:t> </w:t>
      </w:r>
      <w:r w:rsidRPr="0050685D">
        <w:t>skladování.</w:t>
      </w:r>
    </w:p>
    <w:p w14:paraId="1EA683B0" w14:textId="77777777" w:rsidR="001B4719" w:rsidRPr="0050685D" w:rsidRDefault="001B4719" w:rsidP="001B4719">
      <w:pPr>
        <w:jc w:val="both"/>
      </w:pPr>
      <w:r w:rsidRPr="0050685D">
        <w:t>Závěry studie „</w:t>
      </w:r>
      <w:r w:rsidRPr="0050685D">
        <w:rPr>
          <w:i/>
          <w:iCs/>
        </w:rPr>
        <w:t>What role for electro</w:t>
      </w:r>
      <w:r w:rsidR="008F5CA5">
        <w:rPr>
          <w:i/>
          <w:iCs/>
        </w:rPr>
        <w:t>metan</w:t>
      </w:r>
      <w:r w:rsidRPr="0050685D">
        <w:rPr>
          <w:i/>
          <w:iCs/>
        </w:rPr>
        <w:t>e and electroammonia technologies in European transport’s low carbon future</w:t>
      </w:r>
      <w:r w:rsidRPr="0050685D">
        <w:t>“ (Cerulogy, Chris Malins, 2018) preferují lehce čpavek před</w:t>
      </w:r>
      <w:r>
        <w:t> </w:t>
      </w:r>
      <w:r w:rsidRPr="0050685D">
        <w:t xml:space="preserve">syntetickým </w:t>
      </w:r>
      <w:r>
        <w:t>metan</w:t>
      </w:r>
      <w:r w:rsidRPr="0050685D">
        <w:t>em. Environmentální přínos obou paliv však zásadně závisí na původu energie použité na jeho výrobu.</w:t>
      </w:r>
    </w:p>
    <w:p w14:paraId="7516AA56" w14:textId="77777777" w:rsidR="001B4719" w:rsidRPr="00C969EA" w:rsidRDefault="001B4719" w:rsidP="001B4719">
      <w:pPr>
        <w:jc w:val="both"/>
        <w:rPr>
          <w:b/>
        </w:rPr>
      </w:pPr>
      <w:r w:rsidRPr="00C969EA">
        <w:rPr>
          <w:b/>
        </w:rPr>
        <w:t>Aktuální situace</w:t>
      </w:r>
    </w:p>
    <w:p w14:paraId="01919650" w14:textId="77777777" w:rsidR="001B4719" w:rsidRPr="0050685D" w:rsidRDefault="001B4719" w:rsidP="001B4719">
      <w:pPr>
        <w:jc w:val="both"/>
      </w:pPr>
      <w:r w:rsidRPr="0050685D">
        <w:t>Japonsko předpokládá, že čpavková technologie je schopna velmi rychlého nasazení, a</w:t>
      </w:r>
      <w:r w:rsidR="00546698">
        <w:t> </w:t>
      </w:r>
      <w:r w:rsidRPr="0050685D">
        <w:t>to</w:t>
      </w:r>
      <w:r>
        <w:t> </w:t>
      </w:r>
      <w:r w:rsidRPr="0050685D">
        <w:t>již</w:t>
      </w:r>
      <w:r>
        <w:t> </w:t>
      </w:r>
      <w:r w:rsidRPr="0050685D">
        <w:t>v</w:t>
      </w:r>
      <w:r w:rsidR="00546698">
        <w:t> </w:t>
      </w:r>
      <w:r w:rsidRPr="0050685D">
        <w:t>letech 2020 až 2023. V</w:t>
      </w:r>
      <w:r w:rsidR="00546698">
        <w:t> </w:t>
      </w:r>
      <w:r w:rsidRPr="0050685D">
        <w:t>porovnání s</w:t>
      </w:r>
      <w:r w:rsidR="00546698">
        <w:t> </w:t>
      </w:r>
      <w:r w:rsidRPr="0050685D">
        <w:t>vodíkem je její využití snazší a</w:t>
      </w:r>
      <w:r w:rsidR="00546698">
        <w:t> </w:t>
      </w:r>
      <w:r w:rsidRPr="0050685D">
        <w:t>přináší menší rizika. Na evropském trhu jsou v</w:t>
      </w:r>
      <w:r w:rsidR="00546698">
        <w:t> </w:t>
      </w:r>
      <w:r w:rsidRPr="0050685D">
        <w:t>dispozici malé výrobní jednotky s</w:t>
      </w:r>
      <w:r w:rsidR="00546698">
        <w:t> </w:t>
      </w:r>
      <w:r w:rsidRPr="0050685D">
        <w:t>produkcí 1 000 až 20</w:t>
      </w:r>
      <w:r>
        <w:t> </w:t>
      </w:r>
      <w:r w:rsidRPr="0050685D">
        <w:t>000</w:t>
      </w:r>
      <w:r>
        <w:t> </w:t>
      </w:r>
      <w:r w:rsidRPr="0050685D">
        <w:t>t</w:t>
      </w:r>
      <w:r w:rsidR="00546698">
        <w:t> </w:t>
      </w:r>
      <w:r w:rsidRPr="0050685D">
        <w:t>čpavku ročně. Většina vývojových pracovišť zabývajících se čpavkem v</w:t>
      </w:r>
      <w:r w:rsidR="00546698">
        <w:t> </w:t>
      </w:r>
      <w:r w:rsidRPr="0050685D">
        <w:t>energetice a</w:t>
      </w:r>
      <w:r w:rsidR="00546698">
        <w:t> </w:t>
      </w:r>
      <w:r w:rsidRPr="0050685D">
        <w:t>dopravě pochází z</w:t>
      </w:r>
      <w:r w:rsidR="00546698">
        <w:t> </w:t>
      </w:r>
      <w:r w:rsidRPr="0050685D">
        <w:t>Japonska, Austrálie, USA a</w:t>
      </w:r>
      <w:r w:rsidR="00546698">
        <w:t> </w:t>
      </w:r>
      <w:r w:rsidRPr="0050685D">
        <w:t>Kanady.</w:t>
      </w:r>
    </w:p>
    <w:p w14:paraId="49403249" w14:textId="77777777" w:rsidR="001B4719" w:rsidRPr="0050685D" w:rsidRDefault="001B4719" w:rsidP="001B4719">
      <w:pPr>
        <w:jc w:val="both"/>
      </w:pPr>
      <w:r w:rsidRPr="0050685D">
        <w:lastRenderedPageBreak/>
        <w:t>Cílem dalšího vývoje je snižování produkčních nákladů, aby se „čpavková cesta“ stala plně konkurenceschopnou. Cestou je například náhrada Haber-Boschova procesu procesem, který nevyžaduje vysoké teploty a</w:t>
      </w:r>
      <w:r w:rsidR="00546698">
        <w:t> </w:t>
      </w:r>
      <w:r w:rsidRPr="0050685D">
        <w:t>tlak a</w:t>
      </w:r>
      <w:r w:rsidR="00546698">
        <w:t> </w:t>
      </w:r>
      <w:r w:rsidRPr="0050685D">
        <w:t>vysokou čistotu H</w:t>
      </w:r>
      <w:r w:rsidRPr="0050685D">
        <w:rPr>
          <w:vertAlign w:val="subscript"/>
        </w:rPr>
        <w:t>2</w:t>
      </w:r>
      <w:r w:rsidRPr="0050685D">
        <w:t xml:space="preserve"> a</w:t>
      </w:r>
      <w:r w:rsidR="00546698">
        <w:t> </w:t>
      </w:r>
      <w:r w:rsidRPr="0050685D">
        <w:t>N</w:t>
      </w:r>
      <w:r w:rsidRPr="0050685D">
        <w:rPr>
          <w:vertAlign w:val="subscript"/>
        </w:rPr>
        <w:t>2</w:t>
      </w:r>
      <w:r w:rsidRPr="0050685D">
        <w:t xml:space="preserve"> (Institute for Sustainable Process Technology, NL). Plně komerční nasazení čpavkových technologií v</w:t>
      </w:r>
      <w:r w:rsidR="00546698">
        <w:t> </w:t>
      </w:r>
      <w:r w:rsidRPr="0050685D">
        <w:t>energetice a</w:t>
      </w:r>
      <w:r w:rsidR="00546698">
        <w:t> </w:t>
      </w:r>
      <w:r w:rsidRPr="0050685D">
        <w:t>dopravě se</w:t>
      </w:r>
      <w:r>
        <w:t> </w:t>
      </w:r>
      <w:r w:rsidRPr="0050685D">
        <w:t>předpokládá v</w:t>
      </w:r>
      <w:r w:rsidR="00546698">
        <w:t> </w:t>
      </w:r>
      <w:r w:rsidRPr="0050685D">
        <w:t>roce 2030 (Siemens, 2015), novější studie již pracují s</w:t>
      </w:r>
      <w:r w:rsidR="00546698">
        <w:t> </w:t>
      </w:r>
      <w:r w:rsidRPr="0050685D">
        <w:t>rokem 2025.</w:t>
      </w:r>
    </w:p>
    <w:p w14:paraId="3ED5EF57" w14:textId="77777777" w:rsidR="001B4719" w:rsidRPr="00C969EA" w:rsidRDefault="001B4719" w:rsidP="001B4719">
      <w:pPr>
        <w:jc w:val="both"/>
        <w:rPr>
          <w:b/>
        </w:rPr>
      </w:pPr>
      <w:r w:rsidRPr="00C969EA">
        <w:rPr>
          <w:b/>
        </w:rPr>
        <w:t>Možnosti čpavkových technologií v</w:t>
      </w:r>
      <w:r w:rsidR="00546698">
        <w:rPr>
          <w:b/>
        </w:rPr>
        <w:t> </w:t>
      </w:r>
      <w:r w:rsidRPr="00C969EA">
        <w:rPr>
          <w:b/>
        </w:rPr>
        <w:t>Česku</w:t>
      </w:r>
    </w:p>
    <w:p w14:paraId="304BB339" w14:textId="77777777" w:rsidR="001B4719" w:rsidRPr="0050685D" w:rsidRDefault="001B4719" w:rsidP="001B4719">
      <w:pPr>
        <w:jc w:val="both"/>
      </w:pPr>
      <w:r w:rsidRPr="0050685D">
        <w:t>Výroba a</w:t>
      </w:r>
      <w:r w:rsidR="00546698">
        <w:t> </w:t>
      </w:r>
      <w:r w:rsidRPr="0050685D">
        <w:t>využití čpavku má v</w:t>
      </w:r>
      <w:r w:rsidR="00546698">
        <w:t> </w:t>
      </w:r>
      <w:r w:rsidRPr="0050685D">
        <w:t>České republice poměrně dlouhou a</w:t>
      </w:r>
      <w:r w:rsidR="00546698">
        <w:t> </w:t>
      </w:r>
      <w:r w:rsidRPr="0050685D">
        <w:t>bohatou tradici, zapojení vědy a</w:t>
      </w:r>
      <w:r w:rsidR="00546698">
        <w:t> </w:t>
      </w:r>
      <w:r w:rsidRPr="0050685D">
        <w:t>výzkumu do rozvoje těchto technologií se přímo nabízí. Překážkou jsou zřejmě jen vysoké investiční náklady na výstavbu testovacích provozů.</w:t>
      </w:r>
    </w:p>
    <w:p w14:paraId="0906EDBF" w14:textId="77777777" w:rsidR="00276F69" w:rsidRDefault="000050AA" w:rsidP="00DF768A">
      <w:pPr>
        <w:pStyle w:val="Nadpisobsahuaseznamu"/>
      </w:pPr>
      <w:r>
        <w:br w:type="page"/>
      </w:r>
      <w:r w:rsidR="00DF768A">
        <w:lastRenderedPageBreak/>
        <w:t>Seznam tabulek</w:t>
      </w:r>
      <w:r w:rsidR="006A06F0">
        <w:fldChar w:fldCharType="begin"/>
      </w:r>
      <w:r w:rsidR="006A06F0">
        <w:instrText xml:space="preserve"> TOC \h \z \c "Tabulka" </w:instrText>
      </w:r>
      <w:r w:rsidR="006A06F0">
        <w:fldChar w:fldCharType="separate"/>
      </w:r>
    </w:p>
    <w:p w14:paraId="69DB7467"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0" w:history="1">
        <w:r w:rsidRPr="00B376AE">
          <w:rPr>
            <w:rStyle w:val="Hypertextovodkaz"/>
            <w:noProof/>
          </w:rPr>
          <w:t>Tabulka 1 Přehled daňových úlev pro elektrická vozidla v rámci EU</w:t>
        </w:r>
        <w:r>
          <w:rPr>
            <w:noProof/>
            <w:webHidden/>
          </w:rPr>
          <w:tab/>
        </w:r>
        <w:r>
          <w:rPr>
            <w:noProof/>
            <w:webHidden/>
          </w:rPr>
          <w:fldChar w:fldCharType="begin"/>
        </w:r>
        <w:r>
          <w:rPr>
            <w:noProof/>
            <w:webHidden/>
          </w:rPr>
          <w:instrText xml:space="preserve"> PAGEREF _Toc34295860 \h </w:instrText>
        </w:r>
        <w:r>
          <w:rPr>
            <w:noProof/>
            <w:webHidden/>
          </w:rPr>
        </w:r>
        <w:r>
          <w:rPr>
            <w:noProof/>
            <w:webHidden/>
          </w:rPr>
          <w:fldChar w:fldCharType="separate"/>
        </w:r>
        <w:r>
          <w:rPr>
            <w:noProof/>
            <w:webHidden/>
          </w:rPr>
          <w:t>25</w:t>
        </w:r>
        <w:r>
          <w:rPr>
            <w:noProof/>
            <w:webHidden/>
          </w:rPr>
          <w:fldChar w:fldCharType="end"/>
        </w:r>
      </w:hyperlink>
    </w:p>
    <w:p w14:paraId="230D8037"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1" w:history="1">
        <w:r w:rsidRPr="00B376AE">
          <w:rPr>
            <w:rStyle w:val="Hypertextovodkaz"/>
            <w:noProof/>
          </w:rPr>
          <w:t>Tabulka 2 Projekce počtu vozidel - nízký scénář</w:t>
        </w:r>
        <w:r>
          <w:rPr>
            <w:noProof/>
            <w:webHidden/>
          </w:rPr>
          <w:tab/>
        </w:r>
        <w:r>
          <w:rPr>
            <w:noProof/>
            <w:webHidden/>
          </w:rPr>
          <w:fldChar w:fldCharType="begin"/>
        </w:r>
        <w:r>
          <w:rPr>
            <w:noProof/>
            <w:webHidden/>
          </w:rPr>
          <w:instrText xml:space="preserve"> PAGEREF _Toc34295861 \h </w:instrText>
        </w:r>
        <w:r>
          <w:rPr>
            <w:noProof/>
            <w:webHidden/>
          </w:rPr>
        </w:r>
        <w:r>
          <w:rPr>
            <w:noProof/>
            <w:webHidden/>
          </w:rPr>
          <w:fldChar w:fldCharType="separate"/>
        </w:r>
        <w:r>
          <w:rPr>
            <w:noProof/>
            <w:webHidden/>
          </w:rPr>
          <w:t>29</w:t>
        </w:r>
        <w:r>
          <w:rPr>
            <w:noProof/>
            <w:webHidden/>
          </w:rPr>
          <w:fldChar w:fldCharType="end"/>
        </w:r>
      </w:hyperlink>
    </w:p>
    <w:p w14:paraId="57FC8DEE"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2" w:history="1">
        <w:r w:rsidRPr="00B376AE">
          <w:rPr>
            <w:rStyle w:val="Hypertextovodkaz"/>
            <w:noProof/>
          </w:rPr>
          <w:t>Tabulka 3 Projekce počtu vozidel - střední scénář</w:t>
        </w:r>
        <w:r>
          <w:rPr>
            <w:noProof/>
            <w:webHidden/>
          </w:rPr>
          <w:tab/>
        </w:r>
        <w:r>
          <w:rPr>
            <w:noProof/>
            <w:webHidden/>
          </w:rPr>
          <w:fldChar w:fldCharType="begin"/>
        </w:r>
        <w:r>
          <w:rPr>
            <w:noProof/>
            <w:webHidden/>
          </w:rPr>
          <w:instrText xml:space="preserve"> PAGEREF _Toc34295862 \h </w:instrText>
        </w:r>
        <w:r>
          <w:rPr>
            <w:noProof/>
            <w:webHidden/>
          </w:rPr>
        </w:r>
        <w:r>
          <w:rPr>
            <w:noProof/>
            <w:webHidden/>
          </w:rPr>
          <w:fldChar w:fldCharType="separate"/>
        </w:r>
        <w:r>
          <w:rPr>
            <w:noProof/>
            <w:webHidden/>
          </w:rPr>
          <w:t>29</w:t>
        </w:r>
        <w:r>
          <w:rPr>
            <w:noProof/>
            <w:webHidden/>
          </w:rPr>
          <w:fldChar w:fldCharType="end"/>
        </w:r>
      </w:hyperlink>
    </w:p>
    <w:p w14:paraId="0EDDB609"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3" w:history="1">
        <w:r w:rsidRPr="00B376AE">
          <w:rPr>
            <w:rStyle w:val="Hypertextovodkaz"/>
            <w:noProof/>
          </w:rPr>
          <w:t>Tabulka 4 Projekce počtu vozidel - vysoký scénář</w:t>
        </w:r>
        <w:r>
          <w:rPr>
            <w:noProof/>
            <w:webHidden/>
          </w:rPr>
          <w:tab/>
        </w:r>
        <w:r>
          <w:rPr>
            <w:noProof/>
            <w:webHidden/>
          </w:rPr>
          <w:fldChar w:fldCharType="begin"/>
        </w:r>
        <w:r>
          <w:rPr>
            <w:noProof/>
            <w:webHidden/>
          </w:rPr>
          <w:instrText xml:space="preserve"> PAGEREF _Toc34295863 \h </w:instrText>
        </w:r>
        <w:r>
          <w:rPr>
            <w:noProof/>
            <w:webHidden/>
          </w:rPr>
        </w:r>
        <w:r>
          <w:rPr>
            <w:noProof/>
            <w:webHidden/>
          </w:rPr>
          <w:fldChar w:fldCharType="separate"/>
        </w:r>
        <w:r>
          <w:rPr>
            <w:noProof/>
            <w:webHidden/>
          </w:rPr>
          <w:t>29</w:t>
        </w:r>
        <w:r>
          <w:rPr>
            <w:noProof/>
            <w:webHidden/>
          </w:rPr>
          <w:fldChar w:fldCharType="end"/>
        </w:r>
      </w:hyperlink>
    </w:p>
    <w:p w14:paraId="6A9D3130"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4" w:history="1">
        <w:r w:rsidRPr="00B376AE">
          <w:rPr>
            <w:rStyle w:val="Hypertextovodkaz"/>
            <w:noProof/>
          </w:rPr>
          <w:t>Tabulka 5 Očekávaný celkový počet elektrovozidel typu BEV a PHEV</w:t>
        </w:r>
        <w:r>
          <w:rPr>
            <w:noProof/>
            <w:webHidden/>
          </w:rPr>
          <w:tab/>
        </w:r>
        <w:r>
          <w:rPr>
            <w:noProof/>
            <w:webHidden/>
          </w:rPr>
          <w:fldChar w:fldCharType="begin"/>
        </w:r>
        <w:r>
          <w:rPr>
            <w:noProof/>
            <w:webHidden/>
          </w:rPr>
          <w:instrText xml:space="preserve"> PAGEREF _Toc34295864 \h </w:instrText>
        </w:r>
        <w:r>
          <w:rPr>
            <w:noProof/>
            <w:webHidden/>
          </w:rPr>
        </w:r>
        <w:r>
          <w:rPr>
            <w:noProof/>
            <w:webHidden/>
          </w:rPr>
          <w:fldChar w:fldCharType="separate"/>
        </w:r>
        <w:r>
          <w:rPr>
            <w:noProof/>
            <w:webHidden/>
          </w:rPr>
          <w:t>30</w:t>
        </w:r>
        <w:r>
          <w:rPr>
            <w:noProof/>
            <w:webHidden/>
          </w:rPr>
          <w:fldChar w:fldCharType="end"/>
        </w:r>
      </w:hyperlink>
    </w:p>
    <w:p w14:paraId="2B74E7F0"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5" w:history="1">
        <w:r w:rsidRPr="00B376AE">
          <w:rPr>
            <w:rStyle w:val="Hypertextovodkaz"/>
            <w:noProof/>
          </w:rPr>
          <w:t>Tabulka 6 Predikce počtu EV dle SDA</w:t>
        </w:r>
        <w:r>
          <w:rPr>
            <w:noProof/>
            <w:webHidden/>
          </w:rPr>
          <w:tab/>
        </w:r>
        <w:r>
          <w:rPr>
            <w:noProof/>
            <w:webHidden/>
          </w:rPr>
          <w:fldChar w:fldCharType="begin"/>
        </w:r>
        <w:r>
          <w:rPr>
            <w:noProof/>
            <w:webHidden/>
          </w:rPr>
          <w:instrText xml:space="preserve"> PAGEREF _Toc34295865 \h </w:instrText>
        </w:r>
        <w:r>
          <w:rPr>
            <w:noProof/>
            <w:webHidden/>
          </w:rPr>
        </w:r>
        <w:r>
          <w:rPr>
            <w:noProof/>
            <w:webHidden/>
          </w:rPr>
          <w:fldChar w:fldCharType="separate"/>
        </w:r>
        <w:r>
          <w:rPr>
            <w:noProof/>
            <w:webHidden/>
          </w:rPr>
          <w:t>30</w:t>
        </w:r>
        <w:r>
          <w:rPr>
            <w:noProof/>
            <w:webHidden/>
          </w:rPr>
          <w:fldChar w:fldCharType="end"/>
        </w:r>
      </w:hyperlink>
    </w:p>
    <w:p w14:paraId="3EF2B270"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6" w:history="1">
        <w:r w:rsidRPr="00B376AE">
          <w:rPr>
            <w:rStyle w:val="Hypertextovodkaz"/>
            <w:noProof/>
          </w:rPr>
          <w:t>Tabulka 7 Projekce počtu dobíjecích stanic</w:t>
        </w:r>
        <w:r>
          <w:rPr>
            <w:noProof/>
            <w:webHidden/>
          </w:rPr>
          <w:tab/>
        </w:r>
        <w:r>
          <w:rPr>
            <w:noProof/>
            <w:webHidden/>
          </w:rPr>
          <w:fldChar w:fldCharType="begin"/>
        </w:r>
        <w:r>
          <w:rPr>
            <w:noProof/>
            <w:webHidden/>
          </w:rPr>
          <w:instrText xml:space="preserve"> PAGEREF _Toc34295866 \h </w:instrText>
        </w:r>
        <w:r>
          <w:rPr>
            <w:noProof/>
            <w:webHidden/>
          </w:rPr>
        </w:r>
        <w:r>
          <w:rPr>
            <w:noProof/>
            <w:webHidden/>
          </w:rPr>
          <w:fldChar w:fldCharType="separate"/>
        </w:r>
        <w:r>
          <w:rPr>
            <w:noProof/>
            <w:webHidden/>
          </w:rPr>
          <w:t>31</w:t>
        </w:r>
        <w:r>
          <w:rPr>
            <w:noProof/>
            <w:webHidden/>
          </w:rPr>
          <w:fldChar w:fldCharType="end"/>
        </w:r>
      </w:hyperlink>
    </w:p>
    <w:p w14:paraId="7FB43AC4"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7" w:history="1">
        <w:r w:rsidRPr="00B376AE">
          <w:rPr>
            <w:rStyle w:val="Hypertextovodkaz"/>
            <w:noProof/>
          </w:rPr>
          <w:t>Tabulka 8 Srovnání kategorií lokalit</w:t>
        </w:r>
        <w:r>
          <w:rPr>
            <w:noProof/>
            <w:webHidden/>
          </w:rPr>
          <w:tab/>
        </w:r>
        <w:r>
          <w:rPr>
            <w:noProof/>
            <w:webHidden/>
          </w:rPr>
          <w:fldChar w:fldCharType="begin"/>
        </w:r>
        <w:r>
          <w:rPr>
            <w:noProof/>
            <w:webHidden/>
          </w:rPr>
          <w:instrText xml:space="preserve"> PAGEREF _Toc34295867 \h </w:instrText>
        </w:r>
        <w:r>
          <w:rPr>
            <w:noProof/>
            <w:webHidden/>
          </w:rPr>
        </w:r>
        <w:r>
          <w:rPr>
            <w:noProof/>
            <w:webHidden/>
          </w:rPr>
          <w:fldChar w:fldCharType="separate"/>
        </w:r>
        <w:r>
          <w:rPr>
            <w:noProof/>
            <w:webHidden/>
          </w:rPr>
          <w:t>33</w:t>
        </w:r>
        <w:r>
          <w:rPr>
            <w:noProof/>
            <w:webHidden/>
          </w:rPr>
          <w:fldChar w:fldCharType="end"/>
        </w:r>
      </w:hyperlink>
    </w:p>
    <w:p w14:paraId="403F675E"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8" w:history="1">
        <w:r w:rsidRPr="00B376AE">
          <w:rPr>
            <w:rStyle w:val="Hypertextovodkaz"/>
            <w:noProof/>
          </w:rPr>
          <w:t>Tabulka 9 Stanovení úspory emisí skleníkových plynů během úplného životního cyklu (W-t-W) biopaliva</w:t>
        </w:r>
        <w:r>
          <w:rPr>
            <w:noProof/>
            <w:webHidden/>
          </w:rPr>
          <w:tab/>
        </w:r>
        <w:r>
          <w:rPr>
            <w:noProof/>
            <w:webHidden/>
          </w:rPr>
          <w:fldChar w:fldCharType="begin"/>
        </w:r>
        <w:r>
          <w:rPr>
            <w:noProof/>
            <w:webHidden/>
          </w:rPr>
          <w:instrText xml:space="preserve"> PAGEREF _Toc34295868 \h </w:instrText>
        </w:r>
        <w:r>
          <w:rPr>
            <w:noProof/>
            <w:webHidden/>
          </w:rPr>
        </w:r>
        <w:r>
          <w:rPr>
            <w:noProof/>
            <w:webHidden/>
          </w:rPr>
          <w:fldChar w:fldCharType="separate"/>
        </w:r>
        <w:r>
          <w:rPr>
            <w:noProof/>
            <w:webHidden/>
          </w:rPr>
          <w:t>51</w:t>
        </w:r>
        <w:r>
          <w:rPr>
            <w:noProof/>
            <w:webHidden/>
          </w:rPr>
          <w:fldChar w:fldCharType="end"/>
        </w:r>
      </w:hyperlink>
    </w:p>
    <w:p w14:paraId="5B6D45DB"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69" w:history="1">
        <w:r w:rsidRPr="00B376AE">
          <w:rPr>
            <w:rStyle w:val="Hypertextovodkaz"/>
            <w:noProof/>
          </w:rPr>
          <w:t>Tabulka 10 Predikce vývoje vozového parku v ČR (podle druhů vozidel)</w:t>
        </w:r>
        <w:r>
          <w:rPr>
            <w:noProof/>
            <w:webHidden/>
          </w:rPr>
          <w:tab/>
        </w:r>
        <w:r>
          <w:rPr>
            <w:noProof/>
            <w:webHidden/>
          </w:rPr>
          <w:fldChar w:fldCharType="begin"/>
        </w:r>
        <w:r>
          <w:rPr>
            <w:noProof/>
            <w:webHidden/>
          </w:rPr>
          <w:instrText xml:space="preserve"> PAGEREF _Toc34295869 \h </w:instrText>
        </w:r>
        <w:r>
          <w:rPr>
            <w:noProof/>
            <w:webHidden/>
          </w:rPr>
        </w:r>
        <w:r>
          <w:rPr>
            <w:noProof/>
            <w:webHidden/>
          </w:rPr>
          <w:fldChar w:fldCharType="separate"/>
        </w:r>
        <w:r>
          <w:rPr>
            <w:noProof/>
            <w:webHidden/>
          </w:rPr>
          <w:t>58</w:t>
        </w:r>
        <w:r>
          <w:rPr>
            <w:noProof/>
            <w:webHidden/>
          </w:rPr>
          <w:fldChar w:fldCharType="end"/>
        </w:r>
      </w:hyperlink>
    </w:p>
    <w:p w14:paraId="0A1DD20E"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0" w:history="1">
        <w:r w:rsidRPr="00B376AE">
          <w:rPr>
            <w:rStyle w:val="Hypertextovodkaz"/>
            <w:noProof/>
          </w:rPr>
          <w:t>Tabulka 11 Predikce spotřeby zemního plynu v dopravě v ČR (mil. m</w:t>
        </w:r>
        <w:r w:rsidRPr="00B376AE">
          <w:rPr>
            <w:rStyle w:val="Hypertextovodkaz"/>
            <w:noProof/>
            <w:vertAlign w:val="superscript"/>
          </w:rPr>
          <w:t>3</w:t>
        </w:r>
        <w:r w:rsidRPr="00B376AE">
          <w:rPr>
            <w:rStyle w:val="Hypertextovodkaz"/>
            <w:noProof/>
          </w:rPr>
          <w:t>)</w:t>
        </w:r>
        <w:r>
          <w:rPr>
            <w:noProof/>
            <w:webHidden/>
          </w:rPr>
          <w:tab/>
        </w:r>
        <w:r>
          <w:rPr>
            <w:noProof/>
            <w:webHidden/>
          </w:rPr>
          <w:fldChar w:fldCharType="begin"/>
        </w:r>
        <w:r>
          <w:rPr>
            <w:noProof/>
            <w:webHidden/>
          </w:rPr>
          <w:instrText xml:space="preserve"> PAGEREF _Toc34295870 \h </w:instrText>
        </w:r>
        <w:r>
          <w:rPr>
            <w:noProof/>
            <w:webHidden/>
          </w:rPr>
        </w:r>
        <w:r>
          <w:rPr>
            <w:noProof/>
            <w:webHidden/>
          </w:rPr>
          <w:fldChar w:fldCharType="separate"/>
        </w:r>
        <w:r>
          <w:rPr>
            <w:noProof/>
            <w:webHidden/>
          </w:rPr>
          <w:t>59</w:t>
        </w:r>
        <w:r>
          <w:rPr>
            <w:noProof/>
            <w:webHidden/>
          </w:rPr>
          <w:fldChar w:fldCharType="end"/>
        </w:r>
      </w:hyperlink>
    </w:p>
    <w:p w14:paraId="3510215A"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1" w:history="1">
        <w:r w:rsidRPr="00B376AE">
          <w:rPr>
            <w:rStyle w:val="Hypertextovodkaz"/>
            <w:noProof/>
          </w:rPr>
          <w:t>Tabulka 12 Objemy biometanu (m</w:t>
        </w:r>
        <w:r w:rsidRPr="00B376AE">
          <w:rPr>
            <w:rStyle w:val="Hypertextovodkaz"/>
            <w:noProof/>
            <w:vertAlign w:val="superscript"/>
          </w:rPr>
          <w:t>3</w:t>
        </w:r>
        <w:r w:rsidRPr="00B376AE">
          <w:rPr>
            <w:rStyle w:val="Hypertextovodkaz"/>
            <w:noProof/>
          </w:rPr>
          <w:t>) ve třech variantách (V – 14%, V – NKEP, V – BioReal) v mixu se zemním plynem</w:t>
        </w:r>
        <w:r>
          <w:rPr>
            <w:noProof/>
            <w:webHidden/>
          </w:rPr>
          <w:tab/>
        </w:r>
        <w:r>
          <w:rPr>
            <w:noProof/>
            <w:webHidden/>
          </w:rPr>
          <w:fldChar w:fldCharType="begin"/>
        </w:r>
        <w:r>
          <w:rPr>
            <w:noProof/>
            <w:webHidden/>
          </w:rPr>
          <w:instrText xml:space="preserve"> PAGEREF _Toc34295871 \h </w:instrText>
        </w:r>
        <w:r>
          <w:rPr>
            <w:noProof/>
            <w:webHidden/>
          </w:rPr>
        </w:r>
        <w:r>
          <w:rPr>
            <w:noProof/>
            <w:webHidden/>
          </w:rPr>
          <w:fldChar w:fldCharType="separate"/>
        </w:r>
        <w:r>
          <w:rPr>
            <w:noProof/>
            <w:webHidden/>
          </w:rPr>
          <w:t>67</w:t>
        </w:r>
        <w:r>
          <w:rPr>
            <w:noProof/>
            <w:webHidden/>
          </w:rPr>
          <w:fldChar w:fldCharType="end"/>
        </w:r>
      </w:hyperlink>
    </w:p>
    <w:p w14:paraId="46DC515C"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2" w:history="1">
        <w:r w:rsidRPr="00B376AE">
          <w:rPr>
            <w:rStyle w:val="Hypertextovodkaz"/>
            <w:noProof/>
          </w:rPr>
          <w:t>Tabulka 13 Dílčí milníky pro jednotlivé segmenty dopravy k roku 2030 a 2040</w:t>
        </w:r>
        <w:r>
          <w:rPr>
            <w:noProof/>
            <w:webHidden/>
          </w:rPr>
          <w:tab/>
        </w:r>
        <w:r>
          <w:rPr>
            <w:noProof/>
            <w:webHidden/>
          </w:rPr>
          <w:fldChar w:fldCharType="begin"/>
        </w:r>
        <w:r>
          <w:rPr>
            <w:noProof/>
            <w:webHidden/>
          </w:rPr>
          <w:instrText xml:space="preserve"> PAGEREF _Toc34295872 \h </w:instrText>
        </w:r>
        <w:r>
          <w:rPr>
            <w:noProof/>
            <w:webHidden/>
          </w:rPr>
        </w:r>
        <w:r>
          <w:rPr>
            <w:noProof/>
            <w:webHidden/>
          </w:rPr>
          <w:fldChar w:fldCharType="separate"/>
        </w:r>
        <w:r>
          <w:rPr>
            <w:noProof/>
            <w:webHidden/>
          </w:rPr>
          <w:t>72</w:t>
        </w:r>
        <w:r>
          <w:rPr>
            <w:noProof/>
            <w:webHidden/>
          </w:rPr>
          <w:fldChar w:fldCharType="end"/>
        </w:r>
      </w:hyperlink>
    </w:p>
    <w:p w14:paraId="0D2A2432"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3" w:history="1">
        <w:r w:rsidRPr="00B376AE">
          <w:rPr>
            <w:rStyle w:val="Hypertextovodkaz"/>
            <w:noProof/>
          </w:rPr>
          <w:t>Tabulka 14 Predikce pro jednotlivé typy silničních vozidel z hlediska ročních prodejů a celkového podílu na trhu v letech 2030 a 2050</w:t>
        </w:r>
        <w:r>
          <w:rPr>
            <w:noProof/>
            <w:webHidden/>
          </w:rPr>
          <w:tab/>
        </w:r>
        <w:r>
          <w:rPr>
            <w:noProof/>
            <w:webHidden/>
          </w:rPr>
          <w:fldChar w:fldCharType="begin"/>
        </w:r>
        <w:r>
          <w:rPr>
            <w:noProof/>
            <w:webHidden/>
          </w:rPr>
          <w:instrText xml:space="preserve"> PAGEREF _Toc34295873 \h </w:instrText>
        </w:r>
        <w:r>
          <w:rPr>
            <w:noProof/>
            <w:webHidden/>
          </w:rPr>
        </w:r>
        <w:r>
          <w:rPr>
            <w:noProof/>
            <w:webHidden/>
          </w:rPr>
          <w:fldChar w:fldCharType="separate"/>
        </w:r>
        <w:r>
          <w:rPr>
            <w:noProof/>
            <w:webHidden/>
          </w:rPr>
          <w:t>72</w:t>
        </w:r>
        <w:r>
          <w:rPr>
            <w:noProof/>
            <w:webHidden/>
          </w:rPr>
          <w:fldChar w:fldCharType="end"/>
        </w:r>
      </w:hyperlink>
    </w:p>
    <w:p w14:paraId="24BB499D"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4" w:history="1">
        <w:r w:rsidRPr="00B376AE">
          <w:rPr>
            <w:rStyle w:val="Hypertextovodkaz"/>
            <w:noProof/>
          </w:rPr>
          <w:t>Tabulka 15 Porovnání charakteristik čpavku, metanu a vodíku</w:t>
        </w:r>
        <w:r>
          <w:rPr>
            <w:noProof/>
            <w:webHidden/>
          </w:rPr>
          <w:tab/>
        </w:r>
        <w:r>
          <w:rPr>
            <w:noProof/>
            <w:webHidden/>
          </w:rPr>
          <w:fldChar w:fldCharType="begin"/>
        </w:r>
        <w:r>
          <w:rPr>
            <w:noProof/>
            <w:webHidden/>
          </w:rPr>
          <w:instrText xml:space="preserve"> PAGEREF _Toc34295874 \h </w:instrText>
        </w:r>
        <w:r>
          <w:rPr>
            <w:noProof/>
            <w:webHidden/>
          </w:rPr>
        </w:r>
        <w:r>
          <w:rPr>
            <w:noProof/>
            <w:webHidden/>
          </w:rPr>
          <w:fldChar w:fldCharType="separate"/>
        </w:r>
        <w:r>
          <w:rPr>
            <w:noProof/>
            <w:webHidden/>
          </w:rPr>
          <w:t>87</w:t>
        </w:r>
        <w:r>
          <w:rPr>
            <w:noProof/>
            <w:webHidden/>
          </w:rPr>
          <w:fldChar w:fldCharType="end"/>
        </w:r>
      </w:hyperlink>
    </w:p>
    <w:p w14:paraId="4B70B610" w14:textId="77777777" w:rsidR="006A06F0" w:rsidRDefault="006A06F0">
      <w:pPr>
        <w:spacing w:before="0" w:after="200" w:line="276" w:lineRule="auto"/>
      </w:pPr>
      <w:r>
        <w:fldChar w:fldCharType="end"/>
      </w:r>
    </w:p>
    <w:p w14:paraId="3E05520A" w14:textId="77777777" w:rsidR="00CA523C" w:rsidRDefault="00CA523C">
      <w:pPr>
        <w:spacing w:before="0" w:after="200" w:line="276" w:lineRule="auto"/>
      </w:pPr>
    </w:p>
    <w:p w14:paraId="6D291562" w14:textId="77777777" w:rsidR="00CA523C" w:rsidRDefault="00CA523C">
      <w:pPr>
        <w:spacing w:before="0" w:after="200" w:line="276" w:lineRule="auto"/>
      </w:pPr>
    </w:p>
    <w:p w14:paraId="5C2642F1" w14:textId="77777777" w:rsidR="00CA523C" w:rsidRDefault="00CA523C">
      <w:pPr>
        <w:spacing w:before="0" w:after="200" w:line="276" w:lineRule="auto"/>
      </w:pPr>
    </w:p>
    <w:p w14:paraId="42E2F895" w14:textId="77777777" w:rsidR="00CA523C" w:rsidRDefault="00CA523C">
      <w:pPr>
        <w:spacing w:before="0" w:after="200" w:line="276" w:lineRule="auto"/>
      </w:pPr>
    </w:p>
    <w:p w14:paraId="18674E96" w14:textId="77777777" w:rsidR="00CA523C" w:rsidRDefault="00CA523C">
      <w:pPr>
        <w:spacing w:before="0" w:after="200" w:line="276" w:lineRule="auto"/>
      </w:pPr>
    </w:p>
    <w:p w14:paraId="4E3E9DE4" w14:textId="77777777" w:rsidR="00CA523C" w:rsidRDefault="00CA523C">
      <w:pPr>
        <w:spacing w:before="0" w:after="200" w:line="276" w:lineRule="auto"/>
      </w:pPr>
    </w:p>
    <w:p w14:paraId="533C2605" w14:textId="77777777" w:rsidR="00CA523C" w:rsidRDefault="00CA523C">
      <w:pPr>
        <w:spacing w:before="0" w:after="200" w:line="276" w:lineRule="auto"/>
      </w:pPr>
    </w:p>
    <w:p w14:paraId="458B60C3" w14:textId="77777777" w:rsidR="00CA523C" w:rsidRDefault="00CA523C">
      <w:pPr>
        <w:spacing w:before="0" w:after="200" w:line="276" w:lineRule="auto"/>
      </w:pPr>
    </w:p>
    <w:p w14:paraId="0F0BF59B" w14:textId="77777777" w:rsidR="00CA523C" w:rsidRDefault="00CA523C">
      <w:pPr>
        <w:spacing w:before="0" w:after="200" w:line="276" w:lineRule="auto"/>
      </w:pPr>
    </w:p>
    <w:p w14:paraId="58D9E9D6" w14:textId="77777777" w:rsidR="00CA523C" w:rsidRDefault="00CA523C">
      <w:pPr>
        <w:spacing w:before="0" w:after="200" w:line="276" w:lineRule="auto"/>
      </w:pPr>
    </w:p>
    <w:p w14:paraId="3AECAF3A" w14:textId="77777777" w:rsidR="00CA523C" w:rsidRDefault="00CA523C">
      <w:pPr>
        <w:spacing w:before="0" w:after="200" w:line="276" w:lineRule="auto"/>
      </w:pPr>
    </w:p>
    <w:p w14:paraId="250B20E9" w14:textId="77777777" w:rsidR="00CA523C" w:rsidRDefault="00CA523C">
      <w:pPr>
        <w:spacing w:before="0" w:after="200" w:line="276" w:lineRule="auto"/>
      </w:pPr>
    </w:p>
    <w:p w14:paraId="36FA4025" w14:textId="77777777" w:rsidR="00CA523C" w:rsidRDefault="00CA523C">
      <w:pPr>
        <w:spacing w:before="0" w:after="200" w:line="276" w:lineRule="auto"/>
      </w:pPr>
    </w:p>
    <w:p w14:paraId="397B9971" w14:textId="77777777" w:rsidR="00CA523C" w:rsidRDefault="00CA523C">
      <w:pPr>
        <w:spacing w:before="0" w:after="200" w:line="276" w:lineRule="auto"/>
      </w:pPr>
    </w:p>
    <w:p w14:paraId="55BA6143" w14:textId="77777777" w:rsidR="00DB753E" w:rsidRDefault="00DB753E" w:rsidP="00DB753E">
      <w:pPr>
        <w:pStyle w:val="Nadpisobsahuaseznamu"/>
      </w:pPr>
      <w:r>
        <w:lastRenderedPageBreak/>
        <w:t xml:space="preserve">seznam grafů </w:t>
      </w:r>
    </w:p>
    <w:p w14:paraId="4B559CFC" w14:textId="77777777" w:rsidR="00276F69" w:rsidRDefault="006A06F0">
      <w:pPr>
        <w:pStyle w:val="Seznamobrzk"/>
        <w:tabs>
          <w:tab w:val="right" w:leader="dot" w:pos="9628"/>
        </w:tabs>
        <w:rPr>
          <w:rFonts w:asciiTheme="minorHAnsi" w:eastAsiaTheme="minorEastAsia" w:hAnsiTheme="minorHAnsi" w:cstheme="minorBidi"/>
          <w:noProof/>
          <w:szCs w:val="22"/>
        </w:rPr>
      </w:pPr>
      <w:r>
        <w:fldChar w:fldCharType="begin"/>
      </w:r>
      <w:r>
        <w:instrText xml:space="preserve"> TOC \h \z \c "Graf" </w:instrText>
      </w:r>
      <w:r>
        <w:fldChar w:fldCharType="separate"/>
      </w:r>
      <w:hyperlink w:anchor="_Toc34295875" w:history="1">
        <w:r w:rsidR="00276F69" w:rsidRPr="00363C09">
          <w:rPr>
            <w:rStyle w:val="Hypertextovodkaz"/>
            <w:noProof/>
          </w:rPr>
          <w:t>Graf 1 Vývoj emisí z dopravy v letech 2000-2018</w:t>
        </w:r>
        <w:r w:rsidR="00276F69">
          <w:rPr>
            <w:noProof/>
            <w:webHidden/>
          </w:rPr>
          <w:tab/>
        </w:r>
        <w:r w:rsidR="00276F69">
          <w:rPr>
            <w:noProof/>
            <w:webHidden/>
          </w:rPr>
          <w:fldChar w:fldCharType="begin"/>
        </w:r>
        <w:r w:rsidR="00276F69">
          <w:rPr>
            <w:noProof/>
            <w:webHidden/>
          </w:rPr>
          <w:instrText xml:space="preserve"> PAGEREF _Toc34295875 \h </w:instrText>
        </w:r>
        <w:r w:rsidR="00276F69">
          <w:rPr>
            <w:noProof/>
            <w:webHidden/>
          </w:rPr>
        </w:r>
        <w:r w:rsidR="00276F69">
          <w:rPr>
            <w:noProof/>
            <w:webHidden/>
          </w:rPr>
          <w:fldChar w:fldCharType="separate"/>
        </w:r>
        <w:r w:rsidR="00276F69">
          <w:rPr>
            <w:noProof/>
            <w:webHidden/>
          </w:rPr>
          <w:t>10</w:t>
        </w:r>
        <w:r w:rsidR="00276F69">
          <w:rPr>
            <w:noProof/>
            <w:webHidden/>
          </w:rPr>
          <w:fldChar w:fldCharType="end"/>
        </w:r>
      </w:hyperlink>
    </w:p>
    <w:p w14:paraId="2E745B38" w14:textId="77777777" w:rsidR="00276F69" w:rsidRDefault="00276F69">
      <w:pPr>
        <w:pStyle w:val="Seznamobrzk"/>
        <w:tabs>
          <w:tab w:val="right" w:leader="dot" w:pos="9628"/>
        </w:tabs>
        <w:rPr>
          <w:rFonts w:asciiTheme="minorHAnsi" w:eastAsiaTheme="minorEastAsia" w:hAnsiTheme="minorHAnsi" w:cstheme="minorBidi"/>
          <w:noProof/>
          <w:szCs w:val="22"/>
        </w:rPr>
      </w:pPr>
      <w:hyperlink w:anchor="_Toc34295876" w:history="1">
        <w:r w:rsidRPr="00363C09">
          <w:rPr>
            <w:rStyle w:val="Hypertextovodkaz"/>
            <w:noProof/>
          </w:rPr>
          <w:t>Graf 2 Produkce CO</w:t>
        </w:r>
        <w:r w:rsidRPr="00363C09">
          <w:rPr>
            <w:rStyle w:val="Hypertextovodkaz"/>
            <w:noProof/>
            <w:vertAlign w:val="subscript"/>
          </w:rPr>
          <w:t>2</w:t>
        </w:r>
        <w:r w:rsidRPr="00363C09">
          <w:rPr>
            <w:rStyle w:val="Hypertextovodkaz"/>
            <w:noProof/>
          </w:rPr>
          <w:t xml:space="preserve"> jednotlivými druhy dopravy v letech 1993-2017</w:t>
        </w:r>
        <w:r>
          <w:rPr>
            <w:noProof/>
            <w:webHidden/>
          </w:rPr>
          <w:tab/>
        </w:r>
        <w:r>
          <w:rPr>
            <w:noProof/>
            <w:webHidden/>
          </w:rPr>
          <w:fldChar w:fldCharType="begin"/>
        </w:r>
        <w:r>
          <w:rPr>
            <w:noProof/>
            <w:webHidden/>
          </w:rPr>
          <w:instrText xml:space="preserve"> PAGEREF _Toc34295876 \h </w:instrText>
        </w:r>
        <w:r>
          <w:rPr>
            <w:noProof/>
            <w:webHidden/>
          </w:rPr>
        </w:r>
        <w:r>
          <w:rPr>
            <w:noProof/>
            <w:webHidden/>
          </w:rPr>
          <w:fldChar w:fldCharType="separate"/>
        </w:r>
        <w:r>
          <w:rPr>
            <w:noProof/>
            <w:webHidden/>
          </w:rPr>
          <w:t>11</w:t>
        </w:r>
        <w:r>
          <w:rPr>
            <w:noProof/>
            <w:webHidden/>
          </w:rPr>
          <w:fldChar w:fldCharType="end"/>
        </w:r>
      </w:hyperlink>
    </w:p>
    <w:p w14:paraId="43814A2E" w14:textId="77777777" w:rsidR="006A06F0" w:rsidRDefault="006A06F0">
      <w:pPr>
        <w:spacing w:before="0" w:after="200" w:line="276" w:lineRule="auto"/>
      </w:pPr>
      <w:r>
        <w:fldChar w:fldCharType="end"/>
      </w:r>
    </w:p>
    <w:p w14:paraId="52078D71" w14:textId="77777777" w:rsidR="00CA523C" w:rsidRDefault="00CA523C">
      <w:pPr>
        <w:spacing w:before="0" w:after="200" w:line="276" w:lineRule="auto"/>
      </w:pPr>
    </w:p>
    <w:p w14:paraId="06CA13E0" w14:textId="77777777" w:rsidR="00CA523C" w:rsidRDefault="00CA523C">
      <w:pPr>
        <w:spacing w:before="0" w:after="200" w:line="276" w:lineRule="auto"/>
      </w:pPr>
    </w:p>
    <w:p w14:paraId="11693A77" w14:textId="77777777" w:rsidR="00CA523C" w:rsidRDefault="00CA523C">
      <w:pPr>
        <w:spacing w:before="0" w:after="200" w:line="276" w:lineRule="auto"/>
      </w:pPr>
    </w:p>
    <w:p w14:paraId="0CF4A2A7" w14:textId="77777777" w:rsidR="00CA523C" w:rsidRDefault="00CA523C">
      <w:pPr>
        <w:spacing w:before="0" w:after="200" w:line="276" w:lineRule="auto"/>
      </w:pPr>
    </w:p>
    <w:p w14:paraId="201095B8" w14:textId="77777777" w:rsidR="00CA523C" w:rsidRDefault="00CA523C">
      <w:pPr>
        <w:spacing w:before="0" w:after="200" w:line="276" w:lineRule="auto"/>
      </w:pPr>
    </w:p>
    <w:p w14:paraId="374C7E66" w14:textId="77777777" w:rsidR="00CA523C" w:rsidRDefault="00CA523C">
      <w:pPr>
        <w:spacing w:before="0" w:after="200" w:line="276" w:lineRule="auto"/>
      </w:pPr>
    </w:p>
    <w:p w14:paraId="0C99DEA2" w14:textId="77777777" w:rsidR="00CA523C" w:rsidRDefault="00CA523C">
      <w:pPr>
        <w:spacing w:before="0" w:after="200" w:line="276" w:lineRule="auto"/>
      </w:pPr>
    </w:p>
    <w:p w14:paraId="05FE9C96" w14:textId="77777777" w:rsidR="00CA523C" w:rsidRDefault="00CA523C">
      <w:pPr>
        <w:spacing w:before="0" w:after="200" w:line="276" w:lineRule="auto"/>
      </w:pPr>
    </w:p>
    <w:p w14:paraId="13C9CEA8" w14:textId="77777777" w:rsidR="00CA523C" w:rsidRDefault="00CA523C">
      <w:pPr>
        <w:spacing w:before="0" w:after="200" w:line="276" w:lineRule="auto"/>
      </w:pPr>
    </w:p>
    <w:p w14:paraId="4009C44B" w14:textId="77777777" w:rsidR="00CA523C" w:rsidRDefault="00CA523C">
      <w:pPr>
        <w:spacing w:before="0" w:after="200" w:line="276" w:lineRule="auto"/>
      </w:pPr>
    </w:p>
    <w:p w14:paraId="51BC531A" w14:textId="77777777" w:rsidR="00CA523C" w:rsidRDefault="00CA523C">
      <w:pPr>
        <w:spacing w:before="0" w:after="200" w:line="276" w:lineRule="auto"/>
      </w:pPr>
    </w:p>
    <w:p w14:paraId="40CCEED4" w14:textId="77777777" w:rsidR="00CA523C" w:rsidRDefault="00CA523C">
      <w:pPr>
        <w:spacing w:before="0" w:after="200" w:line="276" w:lineRule="auto"/>
      </w:pPr>
    </w:p>
    <w:p w14:paraId="10F30174" w14:textId="77777777" w:rsidR="00CA523C" w:rsidRDefault="00CA523C">
      <w:pPr>
        <w:spacing w:before="0" w:after="200" w:line="276" w:lineRule="auto"/>
      </w:pPr>
    </w:p>
    <w:p w14:paraId="558B68BA" w14:textId="77777777" w:rsidR="00CA523C" w:rsidRDefault="00CA523C">
      <w:pPr>
        <w:spacing w:before="0" w:after="200" w:line="276" w:lineRule="auto"/>
      </w:pPr>
    </w:p>
    <w:p w14:paraId="603D7A24" w14:textId="77777777" w:rsidR="00CA523C" w:rsidRDefault="00CA523C">
      <w:pPr>
        <w:spacing w:before="0" w:after="200" w:line="276" w:lineRule="auto"/>
      </w:pPr>
    </w:p>
    <w:p w14:paraId="3183975D" w14:textId="77777777" w:rsidR="00CA523C" w:rsidRDefault="00CA523C">
      <w:pPr>
        <w:spacing w:before="0" w:after="200" w:line="276" w:lineRule="auto"/>
      </w:pPr>
    </w:p>
    <w:p w14:paraId="20528DEC" w14:textId="77777777" w:rsidR="00CA523C" w:rsidRDefault="00CA523C">
      <w:pPr>
        <w:spacing w:before="0" w:after="200" w:line="276" w:lineRule="auto"/>
      </w:pPr>
    </w:p>
    <w:p w14:paraId="1A1B66FC" w14:textId="77777777" w:rsidR="00CA523C" w:rsidRDefault="00CA523C">
      <w:pPr>
        <w:spacing w:before="0" w:after="200" w:line="276" w:lineRule="auto"/>
      </w:pPr>
    </w:p>
    <w:p w14:paraId="284A99A1" w14:textId="77777777" w:rsidR="00CA523C" w:rsidRDefault="00CA523C">
      <w:pPr>
        <w:spacing w:before="0" w:after="200" w:line="276" w:lineRule="auto"/>
      </w:pPr>
    </w:p>
    <w:p w14:paraId="50F48549" w14:textId="77777777" w:rsidR="00CA523C" w:rsidRDefault="00CA523C">
      <w:pPr>
        <w:spacing w:before="0" w:after="200" w:line="276" w:lineRule="auto"/>
      </w:pPr>
    </w:p>
    <w:p w14:paraId="4FAA2C84" w14:textId="77777777" w:rsidR="00CA523C" w:rsidRDefault="00CA523C">
      <w:pPr>
        <w:spacing w:before="0" w:after="200" w:line="276" w:lineRule="auto"/>
      </w:pPr>
    </w:p>
    <w:p w14:paraId="4E7AAC7A" w14:textId="77777777" w:rsidR="00CA523C" w:rsidRDefault="00CA523C">
      <w:pPr>
        <w:spacing w:before="0" w:after="200" w:line="276" w:lineRule="auto"/>
      </w:pPr>
    </w:p>
    <w:p w14:paraId="5337AD12" w14:textId="77777777" w:rsidR="00CA523C" w:rsidRDefault="00CA523C">
      <w:pPr>
        <w:spacing w:before="0" w:after="200" w:line="276" w:lineRule="auto"/>
      </w:pPr>
    </w:p>
    <w:p w14:paraId="19F762D5" w14:textId="77777777" w:rsidR="00CA523C" w:rsidRDefault="00CA523C">
      <w:pPr>
        <w:spacing w:before="0" w:after="200" w:line="276" w:lineRule="auto"/>
      </w:pPr>
    </w:p>
    <w:p w14:paraId="4297504F" w14:textId="77777777" w:rsidR="00CA523C" w:rsidRDefault="00CA523C">
      <w:pPr>
        <w:spacing w:before="0" w:after="200" w:line="276" w:lineRule="auto"/>
      </w:pPr>
    </w:p>
    <w:p w14:paraId="41F0B2C0" w14:textId="77777777" w:rsidR="00CA523C" w:rsidRDefault="00DB753E" w:rsidP="00DB753E">
      <w:pPr>
        <w:pStyle w:val="Nadpisobsahuaseznamu"/>
      </w:pPr>
      <w:r>
        <w:lastRenderedPageBreak/>
        <w:t>seznam obrázků</w:t>
      </w:r>
    </w:p>
    <w:p w14:paraId="4A06579A" w14:textId="77777777" w:rsidR="00910690" w:rsidRDefault="006A06F0">
      <w:pPr>
        <w:pStyle w:val="Seznamobrzk"/>
        <w:tabs>
          <w:tab w:val="right" w:leader="dot" w:pos="9628"/>
        </w:tabs>
        <w:rPr>
          <w:rFonts w:asciiTheme="minorHAnsi" w:eastAsiaTheme="minorEastAsia" w:hAnsiTheme="minorHAnsi" w:cstheme="minorBidi"/>
          <w:noProof/>
          <w:szCs w:val="22"/>
        </w:rPr>
      </w:pPr>
      <w:r>
        <w:fldChar w:fldCharType="begin"/>
      </w:r>
      <w:r>
        <w:instrText xml:space="preserve"> TOC \h \z \c "Obrázek" </w:instrText>
      </w:r>
      <w:r>
        <w:fldChar w:fldCharType="separate"/>
      </w:r>
      <w:hyperlink w:anchor="_Toc25230408" w:history="1">
        <w:r w:rsidR="00910690" w:rsidRPr="003068AC">
          <w:rPr>
            <w:rStyle w:val="Hypertextovodkaz"/>
            <w:noProof/>
          </w:rPr>
          <w:t>Obrázek 1 Předběžná struktura programu Horizon Europe</w:t>
        </w:r>
        <w:r w:rsidR="00910690">
          <w:rPr>
            <w:noProof/>
            <w:webHidden/>
          </w:rPr>
          <w:tab/>
        </w:r>
        <w:r w:rsidR="00910690">
          <w:rPr>
            <w:noProof/>
            <w:webHidden/>
          </w:rPr>
          <w:fldChar w:fldCharType="begin"/>
        </w:r>
        <w:r w:rsidR="00910690">
          <w:rPr>
            <w:noProof/>
            <w:webHidden/>
          </w:rPr>
          <w:instrText xml:space="preserve"> PAGEREF _Toc25230408 \h </w:instrText>
        </w:r>
        <w:r w:rsidR="00910690">
          <w:rPr>
            <w:noProof/>
            <w:webHidden/>
          </w:rPr>
        </w:r>
        <w:r w:rsidR="00910690">
          <w:rPr>
            <w:noProof/>
            <w:webHidden/>
          </w:rPr>
          <w:fldChar w:fldCharType="separate"/>
        </w:r>
        <w:r w:rsidR="00910690">
          <w:rPr>
            <w:noProof/>
            <w:webHidden/>
          </w:rPr>
          <w:t>14</w:t>
        </w:r>
        <w:r w:rsidR="00910690">
          <w:rPr>
            <w:noProof/>
            <w:webHidden/>
          </w:rPr>
          <w:fldChar w:fldCharType="end"/>
        </w:r>
      </w:hyperlink>
    </w:p>
    <w:p w14:paraId="705B7F57"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09" w:history="1">
        <w:r w:rsidR="00910690" w:rsidRPr="003068AC">
          <w:rPr>
            <w:rStyle w:val="Hypertextovodkaz"/>
            <w:noProof/>
          </w:rPr>
          <w:t>Obrázek 2 Přehled typů elektrických vozidel z hlediska pohonu</w:t>
        </w:r>
        <w:r w:rsidR="00910690">
          <w:rPr>
            <w:noProof/>
            <w:webHidden/>
          </w:rPr>
          <w:tab/>
        </w:r>
        <w:r w:rsidR="00910690">
          <w:rPr>
            <w:noProof/>
            <w:webHidden/>
          </w:rPr>
          <w:fldChar w:fldCharType="begin"/>
        </w:r>
        <w:r w:rsidR="00910690">
          <w:rPr>
            <w:noProof/>
            <w:webHidden/>
          </w:rPr>
          <w:instrText xml:space="preserve"> PAGEREF _Toc25230409 \h </w:instrText>
        </w:r>
        <w:r w:rsidR="00910690">
          <w:rPr>
            <w:noProof/>
            <w:webHidden/>
          </w:rPr>
        </w:r>
        <w:r w:rsidR="00910690">
          <w:rPr>
            <w:noProof/>
            <w:webHidden/>
          </w:rPr>
          <w:fldChar w:fldCharType="separate"/>
        </w:r>
        <w:r w:rsidR="00910690">
          <w:rPr>
            <w:noProof/>
            <w:webHidden/>
          </w:rPr>
          <w:t>19</w:t>
        </w:r>
        <w:r w:rsidR="00910690">
          <w:rPr>
            <w:noProof/>
            <w:webHidden/>
          </w:rPr>
          <w:fldChar w:fldCharType="end"/>
        </w:r>
      </w:hyperlink>
    </w:p>
    <w:p w14:paraId="013128FE"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0" w:history="1">
        <w:r w:rsidR="00910690" w:rsidRPr="003068AC">
          <w:rPr>
            <w:rStyle w:val="Hypertextovodkaz"/>
            <w:noProof/>
          </w:rPr>
          <w:t>Obrázek 3 Schéma modelu dobíjení, CPO i EMP stejná osoba</w:t>
        </w:r>
        <w:r w:rsidR="00910690">
          <w:rPr>
            <w:noProof/>
            <w:webHidden/>
          </w:rPr>
          <w:tab/>
        </w:r>
        <w:r w:rsidR="00910690">
          <w:rPr>
            <w:noProof/>
            <w:webHidden/>
          </w:rPr>
          <w:fldChar w:fldCharType="begin"/>
        </w:r>
        <w:r w:rsidR="00910690">
          <w:rPr>
            <w:noProof/>
            <w:webHidden/>
          </w:rPr>
          <w:instrText xml:space="preserve"> PAGEREF _Toc25230410 \h </w:instrText>
        </w:r>
        <w:r w:rsidR="00910690">
          <w:rPr>
            <w:noProof/>
            <w:webHidden/>
          </w:rPr>
        </w:r>
        <w:r w:rsidR="00910690">
          <w:rPr>
            <w:noProof/>
            <w:webHidden/>
          </w:rPr>
          <w:fldChar w:fldCharType="separate"/>
        </w:r>
        <w:r w:rsidR="00910690">
          <w:rPr>
            <w:noProof/>
            <w:webHidden/>
          </w:rPr>
          <w:t>32</w:t>
        </w:r>
        <w:r w:rsidR="00910690">
          <w:rPr>
            <w:noProof/>
            <w:webHidden/>
          </w:rPr>
          <w:fldChar w:fldCharType="end"/>
        </w:r>
      </w:hyperlink>
    </w:p>
    <w:p w14:paraId="55FE3977"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1" w:history="1">
        <w:r w:rsidR="00910690" w:rsidRPr="003068AC">
          <w:rPr>
            <w:rStyle w:val="Hypertextovodkaz"/>
            <w:noProof/>
          </w:rPr>
          <w:t>Obrázek 4 Schéma model dobíjení s více nezávislými EMP</w:t>
        </w:r>
        <w:r w:rsidR="00910690">
          <w:rPr>
            <w:noProof/>
            <w:webHidden/>
          </w:rPr>
          <w:tab/>
        </w:r>
        <w:r w:rsidR="00910690">
          <w:rPr>
            <w:noProof/>
            <w:webHidden/>
          </w:rPr>
          <w:fldChar w:fldCharType="begin"/>
        </w:r>
        <w:r w:rsidR="00910690">
          <w:rPr>
            <w:noProof/>
            <w:webHidden/>
          </w:rPr>
          <w:instrText xml:space="preserve"> PAGEREF _Toc25230411 \h </w:instrText>
        </w:r>
        <w:r w:rsidR="00910690">
          <w:rPr>
            <w:noProof/>
            <w:webHidden/>
          </w:rPr>
        </w:r>
        <w:r w:rsidR="00910690">
          <w:rPr>
            <w:noProof/>
            <w:webHidden/>
          </w:rPr>
          <w:fldChar w:fldCharType="separate"/>
        </w:r>
        <w:r w:rsidR="00910690">
          <w:rPr>
            <w:noProof/>
            <w:webHidden/>
          </w:rPr>
          <w:t>33</w:t>
        </w:r>
        <w:r w:rsidR="00910690">
          <w:rPr>
            <w:noProof/>
            <w:webHidden/>
          </w:rPr>
          <w:fldChar w:fldCharType="end"/>
        </w:r>
      </w:hyperlink>
    </w:p>
    <w:p w14:paraId="14EF75FB"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2" w:history="1">
        <w:r w:rsidR="00910690" w:rsidRPr="003068AC">
          <w:rPr>
            <w:rStyle w:val="Hypertextovodkaz"/>
            <w:noProof/>
          </w:rPr>
          <w:t>Obrázek 5 Přehled veřejných plnicích stanic CNG a LNG v ČR</w:t>
        </w:r>
        <w:r w:rsidR="00910690">
          <w:rPr>
            <w:noProof/>
            <w:webHidden/>
          </w:rPr>
          <w:tab/>
        </w:r>
        <w:r w:rsidR="00910690">
          <w:rPr>
            <w:noProof/>
            <w:webHidden/>
          </w:rPr>
          <w:fldChar w:fldCharType="begin"/>
        </w:r>
        <w:r w:rsidR="00910690">
          <w:rPr>
            <w:noProof/>
            <w:webHidden/>
          </w:rPr>
          <w:instrText xml:space="preserve"> PAGEREF _Toc25230412 \h </w:instrText>
        </w:r>
        <w:r w:rsidR="00910690">
          <w:rPr>
            <w:noProof/>
            <w:webHidden/>
          </w:rPr>
        </w:r>
        <w:r w:rsidR="00910690">
          <w:rPr>
            <w:noProof/>
            <w:webHidden/>
          </w:rPr>
          <w:fldChar w:fldCharType="separate"/>
        </w:r>
        <w:r w:rsidR="00910690">
          <w:rPr>
            <w:noProof/>
            <w:webHidden/>
          </w:rPr>
          <w:t>47</w:t>
        </w:r>
        <w:r w:rsidR="00910690">
          <w:rPr>
            <w:noProof/>
            <w:webHidden/>
          </w:rPr>
          <w:fldChar w:fldCharType="end"/>
        </w:r>
      </w:hyperlink>
    </w:p>
    <w:p w14:paraId="418DE4C4"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3" w:history="1">
        <w:r w:rsidR="00910690" w:rsidRPr="003068AC">
          <w:rPr>
            <w:rStyle w:val="Hypertextovodkaz"/>
            <w:noProof/>
          </w:rPr>
          <w:t>Obrázek 6 Graf vývoje prodeje CNG v ČR (v mil. m</w:t>
        </w:r>
        <w:r w:rsidR="00910690" w:rsidRPr="003068AC">
          <w:rPr>
            <w:rStyle w:val="Hypertextovodkaz"/>
            <w:noProof/>
            <w:vertAlign w:val="superscript"/>
          </w:rPr>
          <w:t>3</w:t>
        </w:r>
        <w:r w:rsidR="00910690" w:rsidRPr="003068AC">
          <w:rPr>
            <w:rStyle w:val="Hypertextovodkaz"/>
            <w:noProof/>
          </w:rPr>
          <w:t>)</w:t>
        </w:r>
        <w:r w:rsidR="00910690">
          <w:rPr>
            <w:noProof/>
            <w:webHidden/>
          </w:rPr>
          <w:tab/>
        </w:r>
        <w:r w:rsidR="00910690">
          <w:rPr>
            <w:noProof/>
            <w:webHidden/>
          </w:rPr>
          <w:fldChar w:fldCharType="begin"/>
        </w:r>
        <w:r w:rsidR="00910690">
          <w:rPr>
            <w:noProof/>
            <w:webHidden/>
          </w:rPr>
          <w:instrText xml:space="preserve"> PAGEREF _Toc25230413 \h </w:instrText>
        </w:r>
        <w:r w:rsidR="00910690">
          <w:rPr>
            <w:noProof/>
            <w:webHidden/>
          </w:rPr>
        </w:r>
        <w:r w:rsidR="00910690">
          <w:rPr>
            <w:noProof/>
            <w:webHidden/>
          </w:rPr>
          <w:fldChar w:fldCharType="separate"/>
        </w:r>
        <w:r w:rsidR="00910690">
          <w:rPr>
            <w:noProof/>
            <w:webHidden/>
          </w:rPr>
          <w:t>47</w:t>
        </w:r>
        <w:r w:rsidR="00910690">
          <w:rPr>
            <w:noProof/>
            <w:webHidden/>
          </w:rPr>
          <w:fldChar w:fldCharType="end"/>
        </w:r>
      </w:hyperlink>
    </w:p>
    <w:p w14:paraId="7B8E1116"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4" w:history="1">
        <w:r w:rsidR="00910690" w:rsidRPr="003068AC">
          <w:rPr>
            <w:rStyle w:val="Hypertextovodkaz"/>
            <w:noProof/>
          </w:rPr>
          <w:t>Obrázek 7 Graf registrací CNG vozidel v Centrálním registru vozidel dle roku výroby</w:t>
        </w:r>
        <w:r w:rsidR="00910690">
          <w:rPr>
            <w:noProof/>
            <w:webHidden/>
          </w:rPr>
          <w:tab/>
        </w:r>
        <w:r w:rsidR="00910690">
          <w:rPr>
            <w:noProof/>
            <w:webHidden/>
          </w:rPr>
          <w:fldChar w:fldCharType="begin"/>
        </w:r>
        <w:r w:rsidR="00910690">
          <w:rPr>
            <w:noProof/>
            <w:webHidden/>
          </w:rPr>
          <w:instrText xml:space="preserve"> PAGEREF _Toc25230414 \h </w:instrText>
        </w:r>
        <w:r w:rsidR="00910690">
          <w:rPr>
            <w:noProof/>
            <w:webHidden/>
          </w:rPr>
        </w:r>
        <w:r w:rsidR="00910690">
          <w:rPr>
            <w:noProof/>
            <w:webHidden/>
          </w:rPr>
          <w:fldChar w:fldCharType="separate"/>
        </w:r>
        <w:r w:rsidR="00910690">
          <w:rPr>
            <w:noProof/>
            <w:webHidden/>
          </w:rPr>
          <w:t>48</w:t>
        </w:r>
        <w:r w:rsidR="00910690">
          <w:rPr>
            <w:noProof/>
            <w:webHidden/>
          </w:rPr>
          <w:fldChar w:fldCharType="end"/>
        </w:r>
      </w:hyperlink>
    </w:p>
    <w:p w14:paraId="143269B0"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5" w:history="1">
        <w:r w:rsidR="00910690" w:rsidRPr="003068AC">
          <w:rPr>
            <w:rStyle w:val="Hypertextovodkaz"/>
            <w:noProof/>
          </w:rPr>
          <w:t>Obrázek 8 Rozmístění plánovaných LNG plnicích stanic přímo na hlavních dopravních tazích</w:t>
        </w:r>
        <w:r w:rsidR="00910690">
          <w:rPr>
            <w:noProof/>
            <w:webHidden/>
          </w:rPr>
          <w:tab/>
        </w:r>
        <w:r w:rsidR="00910690">
          <w:rPr>
            <w:noProof/>
            <w:webHidden/>
          </w:rPr>
          <w:fldChar w:fldCharType="begin"/>
        </w:r>
        <w:r w:rsidR="00910690">
          <w:rPr>
            <w:noProof/>
            <w:webHidden/>
          </w:rPr>
          <w:instrText xml:space="preserve"> PAGEREF _Toc25230415 \h </w:instrText>
        </w:r>
        <w:r w:rsidR="00910690">
          <w:rPr>
            <w:noProof/>
            <w:webHidden/>
          </w:rPr>
        </w:r>
        <w:r w:rsidR="00910690">
          <w:rPr>
            <w:noProof/>
            <w:webHidden/>
          </w:rPr>
          <w:fldChar w:fldCharType="separate"/>
        </w:r>
        <w:r w:rsidR="00910690">
          <w:rPr>
            <w:noProof/>
            <w:webHidden/>
          </w:rPr>
          <w:t>49</w:t>
        </w:r>
        <w:r w:rsidR="00910690">
          <w:rPr>
            <w:noProof/>
            <w:webHidden/>
          </w:rPr>
          <w:fldChar w:fldCharType="end"/>
        </w:r>
      </w:hyperlink>
    </w:p>
    <w:p w14:paraId="6D0D3F9B"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6" w:history="1">
        <w:r w:rsidR="00910690" w:rsidRPr="003068AC">
          <w:rPr>
            <w:rStyle w:val="Hypertextovodkaz"/>
            <w:noProof/>
          </w:rPr>
          <w:t>Obrázek 9 Přehled bioplynových stanic a jejich vzdálenost k plynovodům</w:t>
        </w:r>
        <w:r w:rsidR="00910690">
          <w:rPr>
            <w:noProof/>
            <w:webHidden/>
          </w:rPr>
          <w:tab/>
        </w:r>
        <w:r w:rsidR="00910690">
          <w:rPr>
            <w:noProof/>
            <w:webHidden/>
          </w:rPr>
          <w:fldChar w:fldCharType="begin"/>
        </w:r>
        <w:r w:rsidR="00910690">
          <w:rPr>
            <w:noProof/>
            <w:webHidden/>
          </w:rPr>
          <w:instrText xml:space="preserve"> PAGEREF _Toc25230416 \h </w:instrText>
        </w:r>
        <w:r w:rsidR="00910690">
          <w:rPr>
            <w:noProof/>
            <w:webHidden/>
          </w:rPr>
        </w:r>
        <w:r w:rsidR="00910690">
          <w:rPr>
            <w:noProof/>
            <w:webHidden/>
          </w:rPr>
          <w:fldChar w:fldCharType="separate"/>
        </w:r>
        <w:r w:rsidR="00910690">
          <w:rPr>
            <w:noProof/>
            <w:webHidden/>
          </w:rPr>
          <w:t>50</w:t>
        </w:r>
        <w:r w:rsidR="00910690">
          <w:rPr>
            <w:noProof/>
            <w:webHidden/>
          </w:rPr>
          <w:fldChar w:fldCharType="end"/>
        </w:r>
      </w:hyperlink>
    </w:p>
    <w:p w14:paraId="304DFFC4"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7" w:history="1">
        <w:r w:rsidR="00910690" w:rsidRPr="003068AC">
          <w:rPr>
            <w:rStyle w:val="Hypertextovodkaz"/>
            <w:noProof/>
          </w:rPr>
          <w:t>Obrázek 10 Graf úspor emisí CO</w:t>
        </w:r>
        <w:r w:rsidR="00910690" w:rsidRPr="003068AC">
          <w:rPr>
            <w:rStyle w:val="Hypertextovodkaz"/>
            <w:noProof/>
            <w:vertAlign w:val="subscript"/>
          </w:rPr>
          <w:t>2</w:t>
        </w:r>
        <w:r w:rsidR="00910690" w:rsidRPr="003068AC">
          <w:rPr>
            <w:rStyle w:val="Hypertextovodkaz"/>
            <w:noProof/>
          </w:rPr>
          <w:t xml:space="preserve"> (t) v dopravě náhradou zemního plynu biometanem V – PA</w:t>
        </w:r>
        <w:r w:rsidR="00910690">
          <w:rPr>
            <w:noProof/>
            <w:webHidden/>
          </w:rPr>
          <w:tab/>
        </w:r>
        <w:r w:rsidR="00910690">
          <w:rPr>
            <w:noProof/>
            <w:webHidden/>
          </w:rPr>
          <w:fldChar w:fldCharType="begin"/>
        </w:r>
        <w:r w:rsidR="00910690">
          <w:rPr>
            <w:noProof/>
            <w:webHidden/>
          </w:rPr>
          <w:instrText xml:space="preserve"> PAGEREF _Toc25230417 \h </w:instrText>
        </w:r>
        <w:r w:rsidR="00910690">
          <w:rPr>
            <w:noProof/>
            <w:webHidden/>
          </w:rPr>
        </w:r>
        <w:r w:rsidR="00910690">
          <w:rPr>
            <w:noProof/>
            <w:webHidden/>
          </w:rPr>
          <w:fldChar w:fldCharType="separate"/>
        </w:r>
        <w:r w:rsidR="00910690">
          <w:rPr>
            <w:noProof/>
            <w:webHidden/>
          </w:rPr>
          <w:t>51</w:t>
        </w:r>
        <w:r w:rsidR="00910690">
          <w:rPr>
            <w:noProof/>
            <w:webHidden/>
          </w:rPr>
          <w:fldChar w:fldCharType="end"/>
        </w:r>
      </w:hyperlink>
    </w:p>
    <w:p w14:paraId="3B59CFC1"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8" w:history="1">
        <w:r w:rsidR="00910690" w:rsidRPr="003068AC">
          <w:rPr>
            <w:rStyle w:val="Hypertextovodkaz"/>
            <w:noProof/>
          </w:rPr>
          <w:t>Obrázek 11 Graf úspor emisí CO</w:t>
        </w:r>
        <w:r w:rsidR="00910690" w:rsidRPr="003068AC">
          <w:rPr>
            <w:rStyle w:val="Hypertextovodkaz"/>
            <w:noProof/>
            <w:vertAlign w:val="subscript"/>
          </w:rPr>
          <w:t>2</w:t>
        </w:r>
        <w:r w:rsidR="00910690" w:rsidRPr="003068AC">
          <w:rPr>
            <w:rStyle w:val="Hypertextovodkaz"/>
            <w:noProof/>
          </w:rPr>
          <w:t xml:space="preserve"> (t) v dopravě náhradou zemního plynu biometanem V – BAU</w:t>
        </w:r>
        <w:r w:rsidR="00910690">
          <w:rPr>
            <w:noProof/>
            <w:webHidden/>
          </w:rPr>
          <w:tab/>
        </w:r>
        <w:r w:rsidR="00910690">
          <w:rPr>
            <w:noProof/>
            <w:webHidden/>
          </w:rPr>
          <w:fldChar w:fldCharType="begin"/>
        </w:r>
        <w:r w:rsidR="00910690">
          <w:rPr>
            <w:noProof/>
            <w:webHidden/>
          </w:rPr>
          <w:instrText xml:space="preserve"> PAGEREF _Toc25230418 \h </w:instrText>
        </w:r>
        <w:r w:rsidR="00910690">
          <w:rPr>
            <w:noProof/>
            <w:webHidden/>
          </w:rPr>
        </w:r>
        <w:r w:rsidR="00910690">
          <w:rPr>
            <w:noProof/>
            <w:webHidden/>
          </w:rPr>
          <w:fldChar w:fldCharType="separate"/>
        </w:r>
        <w:r w:rsidR="00910690">
          <w:rPr>
            <w:noProof/>
            <w:webHidden/>
          </w:rPr>
          <w:t>52</w:t>
        </w:r>
        <w:r w:rsidR="00910690">
          <w:rPr>
            <w:noProof/>
            <w:webHidden/>
          </w:rPr>
          <w:fldChar w:fldCharType="end"/>
        </w:r>
      </w:hyperlink>
    </w:p>
    <w:p w14:paraId="7F83F8E0"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19" w:history="1">
        <w:r w:rsidR="00910690" w:rsidRPr="003068AC">
          <w:rPr>
            <w:rStyle w:val="Hypertextovodkaz"/>
            <w:noProof/>
          </w:rPr>
          <w:t>Obrázek 12 Graf úspora emisí CO</w:t>
        </w:r>
        <w:r w:rsidR="00910690" w:rsidRPr="003068AC">
          <w:rPr>
            <w:rStyle w:val="Hypertextovodkaz"/>
            <w:noProof/>
            <w:vertAlign w:val="subscript"/>
          </w:rPr>
          <w:t>2</w:t>
        </w:r>
        <w:r w:rsidR="00910690" w:rsidRPr="003068AC">
          <w:rPr>
            <w:rStyle w:val="Hypertextovodkaz"/>
            <w:noProof/>
          </w:rPr>
          <w:t xml:space="preserve"> (t) v dopravě náhradou zemního plynu biometanem V – BP</w:t>
        </w:r>
        <w:r w:rsidR="00910690">
          <w:rPr>
            <w:noProof/>
            <w:webHidden/>
          </w:rPr>
          <w:tab/>
        </w:r>
        <w:r w:rsidR="00910690">
          <w:rPr>
            <w:noProof/>
            <w:webHidden/>
          </w:rPr>
          <w:fldChar w:fldCharType="begin"/>
        </w:r>
        <w:r w:rsidR="00910690">
          <w:rPr>
            <w:noProof/>
            <w:webHidden/>
          </w:rPr>
          <w:instrText xml:space="preserve"> PAGEREF _Toc25230419 \h </w:instrText>
        </w:r>
        <w:r w:rsidR="00910690">
          <w:rPr>
            <w:noProof/>
            <w:webHidden/>
          </w:rPr>
        </w:r>
        <w:r w:rsidR="00910690">
          <w:rPr>
            <w:noProof/>
            <w:webHidden/>
          </w:rPr>
          <w:fldChar w:fldCharType="separate"/>
        </w:r>
        <w:r w:rsidR="00910690">
          <w:rPr>
            <w:noProof/>
            <w:webHidden/>
          </w:rPr>
          <w:t>52</w:t>
        </w:r>
        <w:r w:rsidR="00910690">
          <w:rPr>
            <w:noProof/>
            <w:webHidden/>
          </w:rPr>
          <w:fldChar w:fldCharType="end"/>
        </w:r>
      </w:hyperlink>
    </w:p>
    <w:p w14:paraId="04EF9A72"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0" w:history="1">
        <w:r w:rsidR="00910690" w:rsidRPr="003068AC">
          <w:rPr>
            <w:rStyle w:val="Hypertextovodkaz"/>
            <w:noProof/>
          </w:rPr>
          <w:t>Obrázek 13 Graf predikcí vývoje vozového parku v ČR</w:t>
        </w:r>
        <w:r w:rsidR="00910690">
          <w:rPr>
            <w:noProof/>
            <w:webHidden/>
          </w:rPr>
          <w:tab/>
        </w:r>
        <w:r w:rsidR="00910690">
          <w:rPr>
            <w:noProof/>
            <w:webHidden/>
          </w:rPr>
          <w:fldChar w:fldCharType="begin"/>
        </w:r>
        <w:r w:rsidR="00910690">
          <w:rPr>
            <w:noProof/>
            <w:webHidden/>
          </w:rPr>
          <w:instrText xml:space="preserve"> PAGEREF _Toc25230420 \h </w:instrText>
        </w:r>
        <w:r w:rsidR="00910690">
          <w:rPr>
            <w:noProof/>
            <w:webHidden/>
          </w:rPr>
        </w:r>
        <w:r w:rsidR="00910690">
          <w:rPr>
            <w:noProof/>
            <w:webHidden/>
          </w:rPr>
          <w:fldChar w:fldCharType="separate"/>
        </w:r>
        <w:r w:rsidR="00910690">
          <w:rPr>
            <w:noProof/>
            <w:webHidden/>
          </w:rPr>
          <w:t>58</w:t>
        </w:r>
        <w:r w:rsidR="00910690">
          <w:rPr>
            <w:noProof/>
            <w:webHidden/>
          </w:rPr>
          <w:fldChar w:fldCharType="end"/>
        </w:r>
      </w:hyperlink>
    </w:p>
    <w:p w14:paraId="7704BEA2"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1" w:history="1">
        <w:r w:rsidR="00910690" w:rsidRPr="003068AC">
          <w:rPr>
            <w:rStyle w:val="Hypertextovodkaz"/>
            <w:noProof/>
          </w:rPr>
          <w:t>Obrázek 14 Graf predikce spotřeby zemního plynu (m</w:t>
        </w:r>
        <w:r w:rsidR="00910690" w:rsidRPr="003068AC">
          <w:rPr>
            <w:rStyle w:val="Hypertextovodkaz"/>
            <w:noProof/>
            <w:vertAlign w:val="superscript"/>
          </w:rPr>
          <w:t>3</w:t>
        </w:r>
        <w:r w:rsidR="00910690" w:rsidRPr="003068AC">
          <w:rPr>
            <w:rStyle w:val="Hypertextovodkaz"/>
            <w:noProof/>
          </w:rPr>
          <w:t>) v dopravě v ČR</w:t>
        </w:r>
        <w:r w:rsidR="00910690">
          <w:rPr>
            <w:noProof/>
            <w:webHidden/>
          </w:rPr>
          <w:tab/>
        </w:r>
        <w:r w:rsidR="00910690">
          <w:rPr>
            <w:noProof/>
            <w:webHidden/>
          </w:rPr>
          <w:fldChar w:fldCharType="begin"/>
        </w:r>
        <w:r w:rsidR="00910690">
          <w:rPr>
            <w:noProof/>
            <w:webHidden/>
          </w:rPr>
          <w:instrText xml:space="preserve"> PAGEREF _Toc25230421 \h </w:instrText>
        </w:r>
        <w:r w:rsidR="00910690">
          <w:rPr>
            <w:noProof/>
            <w:webHidden/>
          </w:rPr>
        </w:r>
        <w:r w:rsidR="00910690">
          <w:rPr>
            <w:noProof/>
            <w:webHidden/>
          </w:rPr>
          <w:fldChar w:fldCharType="separate"/>
        </w:r>
        <w:r w:rsidR="00910690">
          <w:rPr>
            <w:noProof/>
            <w:webHidden/>
          </w:rPr>
          <w:t>59</w:t>
        </w:r>
        <w:r w:rsidR="00910690">
          <w:rPr>
            <w:noProof/>
            <w:webHidden/>
          </w:rPr>
          <w:fldChar w:fldCharType="end"/>
        </w:r>
      </w:hyperlink>
    </w:p>
    <w:p w14:paraId="0C12480A"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2" w:history="1">
        <w:r w:rsidR="00910690" w:rsidRPr="003068AC">
          <w:rPr>
            <w:rStyle w:val="Hypertextovodkaz"/>
            <w:noProof/>
          </w:rPr>
          <w:t>Obrázek 15 Graf predikcí objemů biometanu v mixu se zemním plynem (V – 14 %)</w:t>
        </w:r>
        <w:r w:rsidR="00910690">
          <w:rPr>
            <w:noProof/>
            <w:webHidden/>
          </w:rPr>
          <w:tab/>
        </w:r>
        <w:r w:rsidR="00910690">
          <w:rPr>
            <w:noProof/>
            <w:webHidden/>
          </w:rPr>
          <w:fldChar w:fldCharType="begin"/>
        </w:r>
        <w:r w:rsidR="00910690">
          <w:rPr>
            <w:noProof/>
            <w:webHidden/>
          </w:rPr>
          <w:instrText xml:space="preserve"> PAGEREF _Toc25230422 \h </w:instrText>
        </w:r>
        <w:r w:rsidR="00910690">
          <w:rPr>
            <w:noProof/>
            <w:webHidden/>
          </w:rPr>
        </w:r>
        <w:r w:rsidR="00910690">
          <w:rPr>
            <w:noProof/>
            <w:webHidden/>
          </w:rPr>
          <w:fldChar w:fldCharType="separate"/>
        </w:r>
        <w:r w:rsidR="00910690">
          <w:rPr>
            <w:noProof/>
            <w:webHidden/>
          </w:rPr>
          <w:t>63</w:t>
        </w:r>
        <w:r w:rsidR="00910690">
          <w:rPr>
            <w:noProof/>
            <w:webHidden/>
          </w:rPr>
          <w:fldChar w:fldCharType="end"/>
        </w:r>
      </w:hyperlink>
    </w:p>
    <w:p w14:paraId="34624C6C"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3" w:history="1">
        <w:r w:rsidR="00910690" w:rsidRPr="003068AC">
          <w:rPr>
            <w:rStyle w:val="Hypertextovodkaz"/>
            <w:noProof/>
          </w:rPr>
          <w:t>Obrázek 16 Graf predikcí objemů biometanu v mixu se zemním plynem (V – NKEP) pro V – PA</w:t>
        </w:r>
        <w:r w:rsidR="00910690">
          <w:rPr>
            <w:noProof/>
            <w:webHidden/>
          </w:rPr>
          <w:tab/>
        </w:r>
        <w:r w:rsidR="00910690">
          <w:rPr>
            <w:noProof/>
            <w:webHidden/>
          </w:rPr>
          <w:fldChar w:fldCharType="begin"/>
        </w:r>
        <w:r w:rsidR="00910690">
          <w:rPr>
            <w:noProof/>
            <w:webHidden/>
          </w:rPr>
          <w:instrText xml:space="preserve"> PAGEREF _Toc25230423 \h </w:instrText>
        </w:r>
        <w:r w:rsidR="00910690">
          <w:rPr>
            <w:noProof/>
            <w:webHidden/>
          </w:rPr>
        </w:r>
        <w:r w:rsidR="00910690">
          <w:rPr>
            <w:noProof/>
            <w:webHidden/>
          </w:rPr>
          <w:fldChar w:fldCharType="separate"/>
        </w:r>
        <w:r w:rsidR="00910690">
          <w:rPr>
            <w:noProof/>
            <w:webHidden/>
          </w:rPr>
          <w:t>64</w:t>
        </w:r>
        <w:r w:rsidR="00910690">
          <w:rPr>
            <w:noProof/>
            <w:webHidden/>
          </w:rPr>
          <w:fldChar w:fldCharType="end"/>
        </w:r>
      </w:hyperlink>
    </w:p>
    <w:p w14:paraId="3A1AAC31"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4" w:history="1">
        <w:r w:rsidR="00910690" w:rsidRPr="003068AC">
          <w:rPr>
            <w:rStyle w:val="Hypertextovodkaz"/>
            <w:noProof/>
          </w:rPr>
          <w:t>Obrázek 17 Graf predikcí objemů biometanu v mixu se zemním plynem (V – NKEP) pro V – BAU</w:t>
        </w:r>
        <w:r w:rsidR="00910690">
          <w:rPr>
            <w:noProof/>
            <w:webHidden/>
          </w:rPr>
          <w:tab/>
        </w:r>
        <w:r w:rsidR="00910690">
          <w:rPr>
            <w:noProof/>
            <w:webHidden/>
          </w:rPr>
          <w:fldChar w:fldCharType="begin"/>
        </w:r>
        <w:r w:rsidR="00910690">
          <w:rPr>
            <w:noProof/>
            <w:webHidden/>
          </w:rPr>
          <w:instrText xml:space="preserve"> PAGEREF _Toc25230424 \h </w:instrText>
        </w:r>
        <w:r w:rsidR="00910690">
          <w:rPr>
            <w:noProof/>
            <w:webHidden/>
          </w:rPr>
        </w:r>
        <w:r w:rsidR="00910690">
          <w:rPr>
            <w:noProof/>
            <w:webHidden/>
          </w:rPr>
          <w:fldChar w:fldCharType="separate"/>
        </w:r>
        <w:r w:rsidR="00910690">
          <w:rPr>
            <w:noProof/>
            <w:webHidden/>
          </w:rPr>
          <w:t>64</w:t>
        </w:r>
        <w:r w:rsidR="00910690">
          <w:rPr>
            <w:noProof/>
            <w:webHidden/>
          </w:rPr>
          <w:fldChar w:fldCharType="end"/>
        </w:r>
      </w:hyperlink>
    </w:p>
    <w:p w14:paraId="2C4CAF4A"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5" w:history="1">
        <w:r w:rsidR="00910690" w:rsidRPr="003068AC">
          <w:rPr>
            <w:rStyle w:val="Hypertextovodkaz"/>
            <w:noProof/>
          </w:rPr>
          <w:t>Obrázek 18 Graf predikcí objemů biometanu v mixu se zemním plynem (V – NKEP) pro V – BP</w:t>
        </w:r>
        <w:r w:rsidR="00910690">
          <w:rPr>
            <w:noProof/>
            <w:webHidden/>
          </w:rPr>
          <w:tab/>
        </w:r>
        <w:r w:rsidR="00910690">
          <w:rPr>
            <w:noProof/>
            <w:webHidden/>
          </w:rPr>
          <w:fldChar w:fldCharType="begin"/>
        </w:r>
        <w:r w:rsidR="00910690">
          <w:rPr>
            <w:noProof/>
            <w:webHidden/>
          </w:rPr>
          <w:instrText xml:space="preserve"> PAGEREF _Toc25230425 \h </w:instrText>
        </w:r>
        <w:r w:rsidR="00910690">
          <w:rPr>
            <w:noProof/>
            <w:webHidden/>
          </w:rPr>
        </w:r>
        <w:r w:rsidR="00910690">
          <w:rPr>
            <w:noProof/>
            <w:webHidden/>
          </w:rPr>
          <w:fldChar w:fldCharType="separate"/>
        </w:r>
        <w:r w:rsidR="00910690">
          <w:rPr>
            <w:noProof/>
            <w:webHidden/>
          </w:rPr>
          <w:t>65</w:t>
        </w:r>
        <w:r w:rsidR="00910690">
          <w:rPr>
            <w:noProof/>
            <w:webHidden/>
          </w:rPr>
          <w:fldChar w:fldCharType="end"/>
        </w:r>
      </w:hyperlink>
    </w:p>
    <w:p w14:paraId="14ED7B68"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6" w:history="1">
        <w:r w:rsidR="00910690" w:rsidRPr="003068AC">
          <w:rPr>
            <w:rStyle w:val="Hypertextovodkaz"/>
            <w:noProof/>
          </w:rPr>
          <w:t>Obrázek 19 Graf predikcí objemů biometanu v mixu se zemním plynem (V – BioReal) pro V – PA</w:t>
        </w:r>
        <w:r w:rsidR="00910690">
          <w:rPr>
            <w:noProof/>
            <w:webHidden/>
          </w:rPr>
          <w:tab/>
        </w:r>
        <w:r w:rsidR="00910690">
          <w:rPr>
            <w:noProof/>
            <w:webHidden/>
          </w:rPr>
          <w:fldChar w:fldCharType="begin"/>
        </w:r>
        <w:r w:rsidR="00910690">
          <w:rPr>
            <w:noProof/>
            <w:webHidden/>
          </w:rPr>
          <w:instrText xml:space="preserve"> PAGEREF _Toc25230426 \h </w:instrText>
        </w:r>
        <w:r w:rsidR="00910690">
          <w:rPr>
            <w:noProof/>
            <w:webHidden/>
          </w:rPr>
        </w:r>
        <w:r w:rsidR="00910690">
          <w:rPr>
            <w:noProof/>
            <w:webHidden/>
          </w:rPr>
          <w:fldChar w:fldCharType="separate"/>
        </w:r>
        <w:r w:rsidR="00910690">
          <w:rPr>
            <w:noProof/>
            <w:webHidden/>
          </w:rPr>
          <w:t>65</w:t>
        </w:r>
        <w:r w:rsidR="00910690">
          <w:rPr>
            <w:noProof/>
            <w:webHidden/>
          </w:rPr>
          <w:fldChar w:fldCharType="end"/>
        </w:r>
      </w:hyperlink>
    </w:p>
    <w:p w14:paraId="75A4103B"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7" w:history="1">
        <w:r w:rsidR="00910690" w:rsidRPr="003068AC">
          <w:rPr>
            <w:rStyle w:val="Hypertextovodkaz"/>
            <w:noProof/>
          </w:rPr>
          <w:t>Obrázek 20 Graf predikce objemů biometanu v mixu se zemním plynem (V – BioReal) pro V – BAU</w:t>
        </w:r>
        <w:r w:rsidR="00910690">
          <w:rPr>
            <w:noProof/>
            <w:webHidden/>
          </w:rPr>
          <w:tab/>
        </w:r>
        <w:r w:rsidR="00910690">
          <w:rPr>
            <w:noProof/>
            <w:webHidden/>
          </w:rPr>
          <w:fldChar w:fldCharType="begin"/>
        </w:r>
        <w:r w:rsidR="00910690">
          <w:rPr>
            <w:noProof/>
            <w:webHidden/>
          </w:rPr>
          <w:instrText xml:space="preserve"> PAGEREF _Toc25230427 \h </w:instrText>
        </w:r>
        <w:r w:rsidR="00910690">
          <w:rPr>
            <w:noProof/>
            <w:webHidden/>
          </w:rPr>
        </w:r>
        <w:r w:rsidR="00910690">
          <w:rPr>
            <w:noProof/>
            <w:webHidden/>
          </w:rPr>
          <w:fldChar w:fldCharType="separate"/>
        </w:r>
        <w:r w:rsidR="00910690">
          <w:rPr>
            <w:noProof/>
            <w:webHidden/>
          </w:rPr>
          <w:t>66</w:t>
        </w:r>
        <w:r w:rsidR="00910690">
          <w:rPr>
            <w:noProof/>
            <w:webHidden/>
          </w:rPr>
          <w:fldChar w:fldCharType="end"/>
        </w:r>
      </w:hyperlink>
    </w:p>
    <w:p w14:paraId="320FA444"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8" w:history="1">
        <w:r w:rsidR="00910690" w:rsidRPr="003068AC">
          <w:rPr>
            <w:rStyle w:val="Hypertextovodkaz"/>
            <w:noProof/>
          </w:rPr>
          <w:t>Obrázek 21 Graf predikcí objemů biometanu v mixu se zemním plynem (V – BioReal) pro V – BP</w:t>
        </w:r>
        <w:r w:rsidR="00910690">
          <w:rPr>
            <w:noProof/>
            <w:webHidden/>
          </w:rPr>
          <w:tab/>
        </w:r>
        <w:r w:rsidR="00910690">
          <w:rPr>
            <w:noProof/>
            <w:webHidden/>
          </w:rPr>
          <w:fldChar w:fldCharType="begin"/>
        </w:r>
        <w:r w:rsidR="00910690">
          <w:rPr>
            <w:noProof/>
            <w:webHidden/>
          </w:rPr>
          <w:instrText xml:space="preserve"> PAGEREF _Toc25230428 \h </w:instrText>
        </w:r>
        <w:r w:rsidR="00910690">
          <w:rPr>
            <w:noProof/>
            <w:webHidden/>
          </w:rPr>
        </w:r>
        <w:r w:rsidR="00910690">
          <w:rPr>
            <w:noProof/>
            <w:webHidden/>
          </w:rPr>
          <w:fldChar w:fldCharType="separate"/>
        </w:r>
        <w:r w:rsidR="00910690">
          <w:rPr>
            <w:noProof/>
            <w:webHidden/>
          </w:rPr>
          <w:t>66</w:t>
        </w:r>
        <w:r w:rsidR="00910690">
          <w:rPr>
            <w:noProof/>
            <w:webHidden/>
          </w:rPr>
          <w:fldChar w:fldCharType="end"/>
        </w:r>
      </w:hyperlink>
    </w:p>
    <w:p w14:paraId="1D1D8FDC"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29" w:history="1">
        <w:r w:rsidR="00910690" w:rsidRPr="003068AC">
          <w:rPr>
            <w:rStyle w:val="Hypertextovodkaz"/>
            <w:noProof/>
          </w:rPr>
          <w:t>Obrázek 22 Přehled a plán vodíkových plnících stanic</w:t>
        </w:r>
        <w:r w:rsidR="00910690">
          <w:rPr>
            <w:noProof/>
            <w:webHidden/>
          </w:rPr>
          <w:tab/>
        </w:r>
        <w:r w:rsidR="00910690">
          <w:rPr>
            <w:noProof/>
            <w:webHidden/>
          </w:rPr>
          <w:fldChar w:fldCharType="begin"/>
        </w:r>
        <w:r w:rsidR="00910690">
          <w:rPr>
            <w:noProof/>
            <w:webHidden/>
          </w:rPr>
          <w:instrText xml:space="preserve"> PAGEREF _Toc25230429 \h </w:instrText>
        </w:r>
        <w:r w:rsidR="00910690">
          <w:rPr>
            <w:noProof/>
            <w:webHidden/>
          </w:rPr>
        </w:r>
        <w:r w:rsidR="00910690">
          <w:rPr>
            <w:noProof/>
            <w:webHidden/>
          </w:rPr>
          <w:fldChar w:fldCharType="separate"/>
        </w:r>
        <w:r w:rsidR="00910690">
          <w:rPr>
            <w:noProof/>
            <w:webHidden/>
          </w:rPr>
          <w:t>74</w:t>
        </w:r>
        <w:r w:rsidR="00910690">
          <w:rPr>
            <w:noProof/>
            <w:webHidden/>
          </w:rPr>
          <w:fldChar w:fldCharType="end"/>
        </w:r>
      </w:hyperlink>
    </w:p>
    <w:p w14:paraId="1224A585"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0" w:history="1">
        <w:r w:rsidR="00910690" w:rsidRPr="003068AC">
          <w:rPr>
            <w:rStyle w:val="Hypertextovodkaz"/>
            <w:noProof/>
          </w:rPr>
          <w:t>Obrázek 23 Počet vodíkových autobusů</w:t>
        </w:r>
        <w:r w:rsidR="00910690">
          <w:rPr>
            <w:noProof/>
            <w:webHidden/>
          </w:rPr>
          <w:tab/>
        </w:r>
        <w:r w:rsidR="00910690">
          <w:rPr>
            <w:noProof/>
            <w:webHidden/>
          </w:rPr>
          <w:fldChar w:fldCharType="begin"/>
        </w:r>
        <w:r w:rsidR="00910690">
          <w:rPr>
            <w:noProof/>
            <w:webHidden/>
          </w:rPr>
          <w:instrText xml:space="preserve"> PAGEREF _Toc25230430 \h </w:instrText>
        </w:r>
        <w:r w:rsidR="00910690">
          <w:rPr>
            <w:noProof/>
            <w:webHidden/>
          </w:rPr>
        </w:r>
        <w:r w:rsidR="00910690">
          <w:rPr>
            <w:noProof/>
            <w:webHidden/>
          </w:rPr>
          <w:fldChar w:fldCharType="separate"/>
        </w:r>
        <w:r w:rsidR="00910690">
          <w:rPr>
            <w:noProof/>
            <w:webHidden/>
          </w:rPr>
          <w:t>76</w:t>
        </w:r>
        <w:r w:rsidR="00910690">
          <w:rPr>
            <w:noProof/>
            <w:webHidden/>
          </w:rPr>
          <w:fldChar w:fldCharType="end"/>
        </w:r>
      </w:hyperlink>
    </w:p>
    <w:p w14:paraId="22EE9471"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1" w:history="1">
        <w:r w:rsidR="00910690" w:rsidRPr="003068AC">
          <w:rPr>
            <w:rStyle w:val="Hypertextovodkaz"/>
            <w:noProof/>
          </w:rPr>
          <w:t>Obrázek 24 Počet vodíkových automobilů</w:t>
        </w:r>
        <w:r w:rsidR="00910690">
          <w:rPr>
            <w:noProof/>
            <w:webHidden/>
          </w:rPr>
          <w:tab/>
        </w:r>
        <w:r w:rsidR="00910690">
          <w:rPr>
            <w:noProof/>
            <w:webHidden/>
          </w:rPr>
          <w:fldChar w:fldCharType="begin"/>
        </w:r>
        <w:r w:rsidR="00910690">
          <w:rPr>
            <w:noProof/>
            <w:webHidden/>
          </w:rPr>
          <w:instrText xml:space="preserve"> PAGEREF _Toc25230431 \h </w:instrText>
        </w:r>
        <w:r w:rsidR="00910690">
          <w:rPr>
            <w:noProof/>
            <w:webHidden/>
          </w:rPr>
        </w:r>
        <w:r w:rsidR="00910690">
          <w:rPr>
            <w:noProof/>
            <w:webHidden/>
          </w:rPr>
          <w:fldChar w:fldCharType="separate"/>
        </w:r>
        <w:r w:rsidR="00910690">
          <w:rPr>
            <w:noProof/>
            <w:webHidden/>
          </w:rPr>
          <w:t>76</w:t>
        </w:r>
        <w:r w:rsidR="00910690">
          <w:rPr>
            <w:noProof/>
            <w:webHidden/>
          </w:rPr>
          <w:fldChar w:fldCharType="end"/>
        </w:r>
      </w:hyperlink>
    </w:p>
    <w:p w14:paraId="35C18493"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2" w:history="1">
        <w:r w:rsidR="00910690" w:rsidRPr="003068AC">
          <w:rPr>
            <w:rStyle w:val="Hypertextovodkaz"/>
            <w:noProof/>
          </w:rPr>
          <w:t>Obrázek 25 Počet plnících stanic</w:t>
        </w:r>
        <w:r w:rsidR="00910690">
          <w:rPr>
            <w:noProof/>
            <w:webHidden/>
          </w:rPr>
          <w:tab/>
        </w:r>
        <w:r w:rsidR="00910690">
          <w:rPr>
            <w:noProof/>
            <w:webHidden/>
          </w:rPr>
          <w:fldChar w:fldCharType="begin"/>
        </w:r>
        <w:r w:rsidR="00910690">
          <w:rPr>
            <w:noProof/>
            <w:webHidden/>
          </w:rPr>
          <w:instrText xml:space="preserve"> PAGEREF _Toc25230432 \h </w:instrText>
        </w:r>
        <w:r w:rsidR="00910690">
          <w:rPr>
            <w:noProof/>
            <w:webHidden/>
          </w:rPr>
        </w:r>
        <w:r w:rsidR="00910690">
          <w:rPr>
            <w:noProof/>
            <w:webHidden/>
          </w:rPr>
          <w:fldChar w:fldCharType="separate"/>
        </w:r>
        <w:r w:rsidR="00910690">
          <w:rPr>
            <w:noProof/>
            <w:webHidden/>
          </w:rPr>
          <w:t>77</w:t>
        </w:r>
        <w:r w:rsidR="00910690">
          <w:rPr>
            <w:noProof/>
            <w:webHidden/>
          </w:rPr>
          <w:fldChar w:fldCharType="end"/>
        </w:r>
      </w:hyperlink>
    </w:p>
    <w:p w14:paraId="5C07C6DB"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3" w:history="1">
        <w:r w:rsidR="00910690" w:rsidRPr="003068AC">
          <w:rPr>
            <w:rStyle w:val="Hypertextovodkaz"/>
            <w:noProof/>
          </w:rPr>
          <w:t>Obrázek 26 Graf spotřeby LPG na CZ trhu – čárový graf znázorňuje vývoj celkové spotřeby, sloupcový znázorňuje potenciální podíl bioLPG</w:t>
        </w:r>
        <w:r w:rsidR="00910690">
          <w:rPr>
            <w:noProof/>
            <w:webHidden/>
          </w:rPr>
          <w:tab/>
        </w:r>
        <w:r w:rsidR="00910690">
          <w:rPr>
            <w:noProof/>
            <w:webHidden/>
          </w:rPr>
          <w:fldChar w:fldCharType="begin"/>
        </w:r>
        <w:r w:rsidR="00910690">
          <w:rPr>
            <w:noProof/>
            <w:webHidden/>
          </w:rPr>
          <w:instrText xml:space="preserve"> PAGEREF _Toc25230433 \h </w:instrText>
        </w:r>
        <w:r w:rsidR="00910690">
          <w:rPr>
            <w:noProof/>
            <w:webHidden/>
          </w:rPr>
        </w:r>
        <w:r w:rsidR="00910690">
          <w:rPr>
            <w:noProof/>
            <w:webHidden/>
          </w:rPr>
          <w:fldChar w:fldCharType="separate"/>
        </w:r>
        <w:r w:rsidR="00910690">
          <w:rPr>
            <w:noProof/>
            <w:webHidden/>
          </w:rPr>
          <w:t>80</w:t>
        </w:r>
        <w:r w:rsidR="00910690">
          <w:rPr>
            <w:noProof/>
            <w:webHidden/>
          </w:rPr>
          <w:fldChar w:fldCharType="end"/>
        </w:r>
      </w:hyperlink>
    </w:p>
    <w:p w14:paraId="31649607"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4" w:history="1">
        <w:r w:rsidR="00910690" w:rsidRPr="003068AC">
          <w:rPr>
            <w:rStyle w:val="Hypertextovodkaz"/>
            <w:noProof/>
          </w:rPr>
          <w:t>Obrázek 27 Schéma výroby syntetických paliv</w:t>
        </w:r>
        <w:r w:rsidR="00910690">
          <w:rPr>
            <w:noProof/>
            <w:webHidden/>
          </w:rPr>
          <w:tab/>
        </w:r>
        <w:r w:rsidR="00910690">
          <w:rPr>
            <w:noProof/>
            <w:webHidden/>
          </w:rPr>
          <w:fldChar w:fldCharType="begin"/>
        </w:r>
        <w:r w:rsidR="00910690">
          <w:rPr>
            <w:noProof/>
            <w:webHidden/>
          </w:rPr>
          <w:instrText xml:space="preserve"> PAGEREF _Toc25230434 \h </w:instrText>
        </w:r>
        <w:r w:rsidR="00910690">
          <w:rPr>
            <w:noProof/>
            <w:webHidden/>
          </w:rPr>
        </w:r>
        <w:r w:rsidR="00910690">
          <w:rPr>
            <w:noProof/>
            <w:webHidden/>
          </w:rPr>
          <w:fldChar w:fldCharType="separate"/>
        </w:r>
        <w:r w:rsidR="00910690">
          <w:rPr>
            <w:noProof/>
            <w:webHidden/>
          </w:rPr>
          <w:t>83</w:t>
        </w:r>
        <w:r w:rsidR="00910690">
          <w:rPr>
            <w:noProof/>
            <w:webHidden/>
          </w:rPr>
          <w:fldChar w:fldCharType="end"/>
        </w:r>
      </w:hyperlink>
    </w:p>
    <w:p w14:paraId="7ADC558B" w14:textId="77777777" w:rsidR="00910690" w:rsidRDefault="00276F69">
      <w:pPr>
        <w:pStyle w:val="Seznamobrzk"/>
        <w:tabs>
          <w:tab w:val="right" w:leader="dot" w:pos="9628"/>
        </w:tabs>
        <w:rPr>
          <w:rFonts w:asciiTheme="minorHAnsi" w:eastAsiaTheme="minorEastAsia" w:hAnsiTheme="minorHAnsi" w:cstheme="minorBidi"/>
          <w:noProof/>
          <w:szCs w:val="22"/>
        </w:rPr>
      </w:pPr>
      <w:hyperlink w:anchor="_Toc25230435" w:history="1">
        <w:r w:rsidR="00910690" w:rsidRPr="003068AC">
          <w:rPr>
            <w:rStyle w:val="Hypertextovodkaz"/>
            <w:noProof/>
          </w:rPr>
          <w:t>Obrázek 28 Schéma výroby „nízkoemisního“ (var. bezemisního) čpavku</w:t>
        </w:r>
        <w:r w:rsidR="00910690">
          <w:rPr>
            <w:noProof/>
            <w:webHidden/>
          </w:rPr>
          <w:tab/>
        </w:r>
        <w:r w:rsidR="00910690">
          <w:rPr>
            <w:noProof/>
            <w:webHidden/>
          </w:rPr>
          <w:fldChar w:fldCharType="begin"/>
        </w:r>
        <w:r w:rsidR="00910690">
          <w:rPr>
            <w:noProof/>
            <w:webHidden/>
          </w:rPr>
          <w:instrText xml:space="preserve"> PAGEREF _Toc25230435 \h </w:instrText>
        </w:r>
        <w:r w:rsidR="00910690">
          <w:rPr>
            <w:noProof/>
            <w:webHidden/>
          </w:rPr>
        </w:r>
        <w:r w:rsidR="00910690">
          <w:rPr>
            <w:noProof/>
            <w:webHidden/>
          </w:rPr>
          <w:fldChar w:fldCharType="separate"/>
        </w:r>
        <w:r w:rsidR="00910690">
          <w:rPr>
            <w:noProof/>
            <w:webHidden/>
          </w:rPr>
          <w:t>85</w:t>
        </w:r>
        <w:r w:rsidR="00910690">
          <w:rPr>
            <w:noProof/>
            <w:webHidden/>
          </w:rPr>
          <w:fldChar w:fldCharType="end"/>
        </w:r>
      </w:hyperlink>
    </w:p>
    <w:p w14:paraId="71CAAEE1" w14:textId="77777777" w:rsidR="00CA523C" w:rsidRDefault="006A06F0" w:rsidP="006A06F0">
      <w:pPr>
        <w:spacing w:before="0" w:after="200" w:line="276" w:lineRule="auto"/>
      </w:pPr>
      <w:r>
        <w:fldChar w:fldCharType="end"/>
      </w:r>
    </w:p>
    <w:sectPr w:rsidR="00CA523C" w:rsidSect="001614BC">
      <w:footerReference w:type="default" r:id="rId52"/>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E8C346" w14:textId="77777777" w:rsidR="00F908CA" w:rsidRDefault="00F908CA" w:rsidP="00677FE0">
      <w:pPr>
        <w:spacing w:after="0"/>
      </w:pPr>
      <w:r>
        <w:separator/>
      </w:r>
    </w:p>
  </w:endnote>
  <w:endnote w:type="continuationSeparator" w:id="0">
    <w:p w14:paraId="57697738" w14:textId="77777777" w:rsidR="00F908CA" w:rsidRDefault="00F908CA" w:rsidP="00677F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Roboto-Light">
    <w:altName w:val="Times New Roman"/>
    <w:charset w:val="00"/>
    <w:family w:val="auto"/>
    <w:pitch w:val="variable"/>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Helv">
    <w:panose1 w:val="020B0604020202030204"/>
    <w:charset w:val="00"/>
    <w:family w:val="swiss"/>
    <w:notTrueType/>
    <w:pitch w:val="variable"/>
    <w:sig w:usb0="00000003" w:usb1="00000000" w:usb2="00000000" w:usb3="00000000" w:csb0="00000001" w:csb1="00000000"/>
  </w:font>
  <w:font w:name="Calibri,Bold">
    <w:altName w:val="MS Gothic"/>
    <w:panose1 w:val="00000000000000000000"/>
    <w:charset w:val="80"/>
    <w:family w:val="auto"/>
    <w:notTrueType/>
    <w:pitch w:val="default"/>
    <w:sig w:usb0="00000000" w:usb1="08070000" w:usb2="00000010" w:usb3="00000000" w:csb0="0002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2314442"/>
      <w:docPartObj>
        <w:docPartGallery w:val="Page Numbers (Bottom of Page)"/>
        <w:docPartUnique/>
      </w:docPartObj>
    </w:sdtPr>
    <w:sdtEndPr/>
    <w:sdtContent>
      <w:p w14:paraId="64044B13" w14:textId="1FCFDAB9" w:rsidR="00F908CA" w:rsidRDefault="00F908CA">
        <w:pPr>
          <w:pStyle w:val="Zpat"/>
          <w:jc w:val="center"/>
        </w:pPr>
        <w:r>
          <w:fldChar w:fldCharType="begin"/>
        </w:r>
        <w:r>
          <w:instrText>PAGE   \* MERGEFORMAT</w:instrText>
        </w:r>
        <w:r>
          <w:fldChar w:fldCharType="separate"/>
        </w:r>
        <w:r w:rsidR="00276F69">
          <w:rPr>
            <w:noProof/>
          </w:rPr>
          <w:t>22</w:t>
        </w:r>
        <w:r>
          <w:fldChar w:fldCharType="end"/>
        </w:r>
      </w:p>
    </w:sdtContent>
  </w:sdt>
  <w:p w14:paraId="13C11316" w14:textId="77777777" w:rsidR="00F908CA" w:rsidRDefault="00F908CA">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7B9B2A" w14:textId="77777777" w:rsidR="00F908CA" w:rsidRDefault="00F908CA" w:rsidP="00677FE0">
      <w:pPr>
        <w:spacing w:after="0"/>
      </w:pPr>
      <w:r>
        <w:separator/>
      </w:r>
    </w:p>
  </w:footnote>
  <w:footnote w:type="continuationSeparator" w:id="0">
    <w:p w14:paraId="5E62F935" w14:textId="77777777" w:rsidR="00F908CA" w:rsidRDefault="00F908CA" w:rsidP="00677FE0">
      <w:pPr>
        <w:spacing w:after="0"/>
      </w:pPr>
      <w:r>
        <w:continuationSeparator/>
      </w:r>
    </w:p>
  </w:footnote>
  <w:footnote w:id="1">
    <w:p w14:paraId="590FCEB1" w14:textId="77777777" w:rsidR="00F908CA" w:rsidRDefault="00F908CA" w:rsidP="001B4719">
      <w:pPr>
        <w:pStyle w:val="Textpoznpodarou"/>
      </w:pPr>
      <w:r>
        <w:rPr>
          <w:rStyle w:val="Znakapoznpodarou"/>
        </w:rPr>
        <w:footnoteRef/>
      </w:r>
      <w:r>
        <w:t xml:space="preserve"> V</w:t>
      </w:r>
      <w:r>
        <w:rPr>
          <w:rFonts w:cstheme="minorHAnsi"/>
        </w:rPr>
        <w:t xml:space="preserve"> případě CZ/DE je index 0,79, v případě CZ/AT je pak index 0,67.</w:t>
      </w:r>
    </w:p>
  </w:footnote>
  <w:footnote w:id="2">
    <w:p w14:paraId="4E793BC2" w14:textId="77777777" w:rsidR="00F908CA" w:rsidRPr="00B90ED5" w:rsidRDefault="00F908CA" w:rsidP="001B4719">
      <w:pPr>
        <w:pStyle w:val="Textpoznpodarou"/>
        <w:rPr>
          <w:rFonts w:asciiTheme="minorHAnsi" w:hAnsiTheme="minorHAnsi"/>
        </w:rPr>
      </w:pPr>
      <w:r w:rsidRPr="00B90ED5">
        <w:rPr>
          <w:rStyle w:val="Znakapoznpodarou"/>
        </w:rPr>
        <w:footnoteRef/>
      </w:r>
      <w:r w:rsidRPr="009B70A8">
        <w:rPr>
          <w:rFonts w:asciiTheme="minorHAnsi" w:hAnsiTheme="minorHAnsi"/>
        </w:rPr>
        <w:t xml:space="preserve"> </w:t>
      </w:r>
      <w:r w:rsidRPr="00B90ED5">
        <w:rPr>
          <w:rFonts w:asciiTheme="minorHAnsi" w:hAnsiTheme="minorHAnsi"/>
        </w:rPr>
        <w:t>nařízení, které stanoví emisní normy (CO</w:t>
      </w:r>
      <w:r w:rsidRPr="00B90ED5">
        <w:rPr>
          <w:rFonts w:asciiTheme="minorHAnsi" w:hAnsiTheme="minorHAnsi"/>
          <w:vertAlign w:val="subscript"/>
        </w:rPr>
        <w:t>2</w:t>
      </w:r>
      <w:r w:rsidRPr="00B90ED5">
        <w:rPr>
          <w:rFonts w:asciiTheme="minorHAnsi" w:hAnsiTheme="minorHAnsi"/>
        </w:rPr>
        <w:t>) z nových osobních a užitkových vozidel a směrnice o podpoře čistých a energeticky účinných silničních vozidel</w:t>
      </w:r>
      <w:r>
        <w:rPr>
          <w:rFonts w:asciiTheme="minorHAnsi" w:hAnsiTheme="minorHAnsi"/>
        </w:rPr>
        <w:t xml:space="preserve"> (zde navíc omezení stropem 80 % limitů emisí PN a NOx dle RDE; od 1. 1. 2026 bude chápáno „čisté“ vozidlo jen to bezemisní)</w:t>
      </w:r>
    </w:p>
  </w:footnote>
  <w:footnote w:id="3">
    <w:p w14:paraId="1BF66B0E" w14:textId="77777777" w:rsidR="00F908CA" w:rsidRPr="006062C8" w:rsidRDefault="00F908CA" w:rsidP="001B4719">
      <w:pPr>
        <w:pStyle w:val="Textpoznpodarou"/>
        <w:rPr>
          <w:rFonts w:asciiTheme="minorHAnsi" w:hAnsiTheme="minorHAnsi"/>
        </w:rPr>
      </w:pPr>
      <w:r w:rsidRPr="005B33F2">
        <w:rPr>
          <w:rStyle w:val="Znakapoznpodarou"/>
        </w:rPr>
        <w:footnoteRef/>
      </w:r>
      <w:r w:rsidRPr="006062C8">
        <w:rPr>
          <w:rFonts w:asciiTheme="minorHAnsi" w:hAnsiTheme="minorHAnsi"/>
        </w:rPr>
        <w:t xml:space="preserve"> </w:t>
      </w:r>
      <w:r w:rsidRPr="00A50928">
        <w:rPr>
          <w:rFonts w:asciiTheme="minorHAnsi" w:hAnsiTheme="minorHAnsi"/>
        </w:rPr>
        <w:t>dle CDV – údajů z CRV; dle údajů Svazu dovozců automobilů (SDA) se jedná o 55 ks - , první registrace, dle druhů paliv statistika dostupná od roku 2010</w:t>
      </w:r>
    </w:p>
  </w:footnote>
  <w:footnote w:id="4">
    <w:p w14:paraId="5775A8F0" w14:textId="77777777" w:rsidR="00F908CA" w:rsidRDefault="00F908CA" w:rsidP="001B4719">
      <w:pPr>
        <w:pStyle w:val="Textpoznpodarou"/>
      </w:pPr>
      <w:r>
        <w:rPr>
          <w:rStyle w:val="Znakapoznpodarou"/>
        </w:rPr>
        <w:footnoteRef/>
      </w:r>
      <w:r>
        <w:t xml:space="preserve"> </w:t>
      </w:r>
      <w:r w:rsidRPr="00587D5F">
        <w:t>Statická data obsahuj</w:t>
      </w:r>
      <w:r>
        <w:t>í</w:t>
      </w:r>
      <w:r w:rsidRPr="00587D5F">
        <w:t xml:space="preserve"> data o poloze dobíjecích stanic pro elektrická vozidla a podmínkách jejich používání.</w:t>
      </w:r>
    </w:p>
  </w:footnote>
  <w:footnote w:id="5">
    <w:p w14:paraId="57DEE982" w14:textId="77777777" w:rsidR="00F908CA" w:rsidRDefault="00F908CA" w:rsidP="001B4719">
      <w:pPr>
        <w:pStyle w:val="Textpoznpodarou"/>
      </w:pPr>
      <w:r>
        <w:rPr>
          <w:rStyle w:val="Znakapoznpodarou"/>
        </w:rPr>
        <w:footnoteRef/>
      </w:r>
      <w:r>
        <w:t xml:space="preserve"> </w:t>
      </w:r>
      <w:r w:rsidRPr="00587D5F">
        <w:t>Dynamická data obsahují data o dostupnosti dobíjecích stanic pro elektromobily (volný/obsazený dobíjecí bod)</w:t>
      </w:r>
    </w:p>
  </w:footnote>
  <w:footnote w:id="6">
    <w:p w14:paraId="1DB116C4" w14:textId="77777777" w:rsidR="00F908CA" w:rsidRPr="002831C5" w:rsidRDefault="00F908CA" w:rsidP="001B4719">
      <w:pPr>
        <w:pStyle w:val="Textpoznpodarou"/>
        <w:rPr>
          <w:rFonts w:asciiTheme="minorHAnsi" w:hAnsiTheme="minorHAnsi"/>
        </w:rPr>
      </w:pPr>
      <w:r w:rsidRPr="002831C5">
        <w:rPr>
          <w:rStyle w:val="Znakapoznpodarou"/>
          <w:rFonts w:asciiTheme="minorHAnsi" w:hAnsiTheme="minorHAnsi"/>
        </w:rPr>
        <w:footnoteRef/>
      </w:r>
      <w:r w:rsidRPr="002831C5">
        <w:rPr>
          <w:rFonts w:asciiTheme="minorHAnsi" w:hAnsiTheme="minorHAnsi"/>
        </w:rPr>
        <w:t xml:space="preserve"> Ze starých ČS, které uplatňují systém přímých pobídek na nákup elektrických vozidel lze uvést příklad </w:t>
      </w:r>
      <w:r w:rsidRPr="002831C5">
        <w:rPr>
          <w:rFonts w:asciiTheme="minorHAnsi" w:hAnsiTheme="minorHAnsi"/>
          <w:b/>
        </w:rPr>
        <w:t>Rakouska</w:t>
      </w:r>
      <w:r w:rsidRPr="002831C5">
        <w:rPr>
          <w:rFonts w:asciiTheme="minorHAnsi" w:hAnsiTheme="minorHAnsi"/>
        </w:rPr>
        <w:t xml:space="preserve">, kde fyzické osoby od roku 2017 dostávají příspěvek 4 000 </w:t>
      </w:r>
      <w:r w:rsidRPr="002831C5">
        <w:rPr>
          <w:rFonts w:asciiTheme="minorHAnsi" w:hAnsiTheme="minorHAnsi" w:cstheme="minorHAnsi"/>
        </w:rPr>
        <w:t xml:space="preserve">euro </w:t>
      </w:r>
      <w:r w:rsidRPr="002831C5">
        <w:rPr>
          <w:rFonts w:asciiTheme="minorHAnsi" w:hAnsiTheme="minorHAnsi"/>
        </w:rPr>
        <w:t>při nákupu BEV</w:t>
      </w:r>
      <w:r w:rsidRPr="002831C5">
        <w:rPr>
          <w:rFonts w:asciiTheme="minorHAnsi" w:hAnsiTheme="minorHAnsi" w:cstheme="minorHAnsi"/>
        </w:rPr>
        <w:t xml:space="preserve"> a 1 500 euro</w:t>
      </w:r>
      <w:r w:rsidRPr="002831C5">
        <w:rPr>
          <w:rFonts w:asciiTheme="minorHAnsi" w:hAnsiTheme="minorHAnsi"/>
        </w:rPr>
        <w:t xml:space="preserve"> při nákupu PHEV. Podnikatelské subjekty mají podporu u BEV jen 3 000 euro. V </w:t>
      </w:r>
      <w:r w:rsidRPr="002831C5">
        <w:rPr>
          <w:rFonts w:asciiTheme="minorHAnsi" w:hAnsiTheme="minorHAnsi"/>
          <w:b/>
        </w:rPr>
        <w:t>Německu</w:t>
      </w:r>
      <w:r w:rsidRPr="002831C5">
        <w:rPr>
          <w:rFonts w:asciiTheme="minorHAnsi" w:hAnsiTheme="minorHAnsi"/>
        </w:rPr>
        <w:t xml:space="preserve"> je podpora při nákupu BEV</w:t>
      </w:r>
      <w:r>
        <w:rPr>
          <w:rFonts w:asciiTheme="minorHAnsi" w:hAnsiTheme="minorHAnsi" w:cstheme="minorHAnsi"/>
        </w:rPr>
        <w:t xml:space="preserve"> </w:t>
      </w:r>
      <w:r w:rsidRPr="002831C5">
        <w:rPr>
          <w:rFonts w:asciiTheme="minorHAnsi" w:hAnsiTheme="minorHAnsi" w:cstheme="minorHAnsi"/>
        </w:rPr>
        <w:t xml:space="preserve">stejná jako v Rakousku, ale ve srovnání s Rakouskem dvojnásobná (3000 </w:t>
      </w:r>
      <w:r>
        <w:rPr>
          <w:rFonts w:asciiTheme="minorHAnsi" w:hAnsiTheme="minorHAnsi" w:cstheme="minorHAnsi"/>
        </w:rPr>
        <w:t>euro</w:t>
      </w:r>
      <w:r w:rsidRPr="002831C5">
        <w:rPr>
          <w:rFonts w:asciiTheme="minorHAnsi" w:hAnsiTheme="minorHAnsi" w:cstheme="minorHAnsi"/>
        </w:rPr>
        <w:t xml:space="preserve">) </w:t>
      </w:r>
      <w:r w:rsidRPr="002831C5">
        <w:rPr>
          <w:rFonts w:asciiTheme="minorHAnsi" w:hAnsiTheme="minorHAnsi"/>
        </w:rPr>
        <w:t xml:space="preserve">při nákupu PHEV. Ve </w:t>
      </w:r>
      <w:r w:rsidRPr="002831C5">
        <w:rPr>
          <w:rFonts w:asciiTheme="minorHAnsi" w:hAnsiTheme="minorHAnsi"/>
          <w:b/>
        </w:rPr>
        <w:t>Francii</w:t>
      </w:r>
      <w:r w:rsidRPr="002831C5">
        <w:rPr>
          <w:rFonts w:asciiTheme="minorHAnsi" w:hAnsiTheme="minorHAnsi"/>
        </w:rPr>
        <w:t xml:space="preserve"> funguje již delší dobu systém bonus/malus, kde příspěvek na nákup BEV je 6 000 euro a 10 000 euro v případě výměny EV vozidla za starý diesel. Podobný systém byl v roce 2018 zaveden ve </w:t>
      </w:r>
      <w:r w:rsidRPr="002831C5">
        <w:rPr>
          <w:rFonts w:asciiTheme="minorHAnsi" w:hAnsiTheme="minorHAnsi"/>
          <w:b/>
        </w:rPr>
        <w:t>Švédsku.</w:t>
      </w:r>
      <w:r w:rsidRPr="002831C5">
        <w:rPr>
          <w:rFonts w:asciiTheme="minorHAnsi" w:hAnsiTheme="minorHAnsi"/>
        </w:rPr>
        <w:t xml:space="preserve"> Podpora nákupu elektrických vozidel ve vztahu k fyzickým osobám funguje též v </w:t>
      </w:r>
      <w:r w:rsidRPr="002831C5">
        <w:rPr>
          <w:rFonts w:asciiTheme="minorHAnsi" w:hAnsiTheme="minorHAnsi"/>
          <w:b/>
        </w:rPr>
        <w:t xml:space="preserve">Belgii/resp. Vlámsko </w:t>
      </w:r>
      <w:r w:rsidRPr="002831C5">
        <w:rPr>
          <w:rFonts w:asciiTheme="minorHAnsi" w:hAnsiTheme="minorHAnsi"/>
        </w:rPr>
        <w:t xml:space="preserve">(4 000 euro) či </w:t>
      </w:r>
      <w:r w:rsidRPr="002831C5">
        <w:rPr>
          <w:rFonts w:asciiTheme="minorHAnsi" w:hAnsiTheme="minorHAnsi"/>
          <w:b/>
        </w:rPr>
        <w:t>Irsku</w:t>
      </w:r>
      <w:r w:rsidRPr="002831C5">
        <w:rPr>
          <w:rFonts w:asciiTheme="minorHAnsi" w:hAnsiTheme="minorHAnsi"/>
        </w:rPr>
        <w:t xml:space="preserve"> (5 000 </w:t>
      </w:r>
      <w:r w:rsidRPr="002831C5">
        <w:rPr>
          <w:rFonts w:asciiTheme="minorHAnsi" w:hAnsiTheme="minorHAnsi" w:cstheme="minorHAnsi"/>
        </w:rPr>
        <w:t>euro)</w:t>
      </w:r>
      <w:r>
        <w:rPr>
          <w:rFonts w:asciiTheme="minorHAnsi" w:hAnsiTheme="minorHAnsi"/>
        </w:rPr>
        <w:t>.</w:t>
      </w:r>
    </w:p>
  </w:footnote>
  <w:footnote w:id="7">
    <w:p w14:paraId="2DC31E51" w14:textId="77777777" w:rsidR="00F908CA" w:rsidRPr="00DC1589" w:rsidRDefault="00F908CA" w:rsidP="001B4719">
      <w:pPr>
        <w:pStyle w:val="Textpoznpodarou"/>
      </w:pPr>
      <w:r>
        <w:rPr>
          <w:rStyle w:val="Znakapoznpodarou"/>
        </w:rPr>
        <w:footnoteRef/>
      </w:r>
      <w:r w:rsidRPr="00DC1589">
        <w:t xml:space="preserve"> V Nizozemsku tento trend vede k tomu, že podíl EV vozidel v rámci carsharingových vozidel je 4%, zatímco celkový podíl EV v rámci vozového parku v Nizozemsku je pouze 1%.</w:t>
      </w:r>
    </w:p>
  </w:footnote>
  <w:footnote w:id="8">
    <w:p w14:paraId="316EDD59" w14:textId="77777777" w:rsidR="00F908CA" w:rsidRDefault="00F908CA" w:rsidP="001B4719">
      <w:pPr>
        <w:pStyle w:val="Textpoznpodarou"/>
      </w:pPr>
      <w:r>
        <w:rPr>
          <w:rStyle w:val="Znakapoznpodarou"/>
        </w:rPr>
        <w:footnoteRef/>
      </w:r>
      <w:r>
        <w:t xml:space="preserve"> </w:t>
      </w:r>
      <w:r w:rsidRPr="00C31320">
        <w:t>Statická data obsahuj</w:t>
      </w:r>
      <w:r>
        <w:t>í</w:t>
      </w:r>
      <w:r w:rsidRPr="00C31320">
        <w:t xml:space="preserve"> data o poloze dobíjecích stanic pro elektrická vozidla a podmínkách jejich používání.</w:t>
      </w:r>
    </w:p>
  </w:footnote>
  <w:footnote w:id="9">
    <w:p w14:paraId="052E6398" w14:textId="77777777" w:rsidR="00F908CA" w:rsidRDefault="00F908CA" w:rsidP="001B4719">
      <w:pPr>
        <w:pStyle w:val="Textpoznpodarou"/>
      </w:pPr>
      <w:r>
        <w:rPr>
          <w:rStyle w:val="Znakapoznpodarou"/>
        </w:rPr>
        <w:footnoteRef/>
      </w:r>
      <w:r>
        <w:t xml:space="preserve"> </w:t>
      </w:r>
      <w:r w:rsidRPr="00C31320">
        <w:t>Dynamická data obsahují data o dostupnosti dobíjecích stanic pro elektromobily (volný/obsazený dobíjecí bod)</w:t>
      </w:r>
    </w:p>
  </w:footnote>
  <w:footnote w:id="10">
    <w:p w14:paraId="5FAF83E7" w14:textId="77777777" w:rsidR="00F908CA" w:rsidRPr="00202AFC" w:rsidRDefault="00F908CA" w:rsidP="001B4719">
      <w:pPr>
        <w:pStyle w:val="Textpoznpodarou"/>
        <w:rPr>
          <w:szCs w:val="16"/>
        </w:rPr>
      </w:pPr>
      <w:r w:rsidRPr="00202AFC">
        <w:rPr>
          <w:rFonts w:cstheme="minorHAnsi"/>
          <w:szCs w:val="16"/>
          <w:vertAlign w:val="superscript"/>
        </w:rPr>
        <w:footnoteRef/>
      </w:r>
      <w:r w:rsidRPr="00202AFC">
        <w:rPr>
          <w:rFonts w:cstheme="minorHAnsi"/>
          <w:szCs w:val="16"/>
          <w:vertAlign w:val="superscript"/>
        </w:rPr>
        <w:t xml:space="preserve"> </w:t>
      </w:r>
      <w:r w:rsidRPr="00202AFC">
        <w:rPr>
          <w:rFonts w:cstheme="minorHAnsi"/>
          <w:szCs w:val="16"/>
        </w:rPr>
        <w:t>OA/LUV – osobní automobil a lehký užitkový automobil, BUS – autobus, N – nákladní automobil</w:t>
      </w:r>
    </w:p>
  </w:footnote>
  <w:footnote w:id="11">
    <w:p w14:paraId="6B640BE8" w14:textId="77777777" w:rsidR="00F908CA" w:rsidRPr="00202AFC" w:rsidRDefault="00F908CA" w:rsidP="001B4719">
      <w:pPr>
        <w:pStyle w:val="Textpoznpodarou"/>
        <w:rPr>
          <w:b/>
          <w:szCs w:val="16"/>
        </w:rPr>
      </w:pPr>
      <w:r w:rsidRPr="00202AFC">
        <w:rPr>
          <w:rFonts w:cstheme="minorHAnsi"/>
          <w:szCs w:val="16"/>
          <w:vertAlign w:val="superscript"/>
        </w:rPr>
        <w:footnoteRef/>
      </w:r>
      <w:r w:rsidRPr="00202AFC">
        <w:rPr>
          <w:rFonts w:cstheme="minorHAnsi"/>
          <w:szCs w:val="16"/>
        </w:rPr>
        <w:t xml:space="preserve"> V USA (Florida) byla rutinní doprava nákladních vlaků s pohonem LNG zahájena v roce 2012. V Evropské </w:t>
      </w:r>
      <w:r>
        <w:rPr>
          <w:rFonts w:cstheme="minorHAnsi"/>
          <w:szCs w:val="16"/>
        </w:rPr>
        <w:t>u</w:t>
      </w:r>
      <w:r w:rsidRPr="00202AFC">
        <w:rPr>
          <w:rFonts w:cstheme="minorHAnsi"/>
          <w:szCs w:val="16"/>
        </w:rPr>
        <w:t>nii je zatím v provozu pilotní projekt s vlakem, vybaveným dvěma motory, dieselovým a LNG pro možnost porovnání. Jak bylo oznámeno na kongresu LNG 2019 v Moskvě, v současnosti existuje v Ruské federaci 27 lokomotiv s pohonem LNG. Gazprom v roce 2018 objednal dalších 24 LNG lokomotiv pro novou železnici na poloostrově Jamal.</w:t>
      </w:r>
    </w:p>
  </w:footnote>
  <w:footnote w:id="12">
    <w:p w14:paraId="7829BF0F" w14:textId="77777777" w:rsidR="00F908CA" w:rsidRDefault="00F908CA" w:rsidP="001B4719">
      <w:pPr>
        <w:pStyle w:val="Textpoznpodarou"/>
      </w:pPr>
      <w:r>
        <w:rPr>
          <w:rStyle w:val="Znakapoznpodarou"/>
        </w:rPr>
        <w:footnoteRef/>
      </w:r>
      <w:r>
        <w:t xml:space="preserve"> WTW - Well-to-wheel analýza je specifická varianta LCA (</w:t>
      </w:r>
      <w:r w:rsidRPr="00917E54">
        <w:t>Life Cycle Assessment</w:t>
      </w:r>
      <w:r>
        <w:t>) studie pro hodnocení efektivnosti paliv používaných v dopravě. Analýza bývá často rozdělena na etapy "well-to-tank" a "tank-to-wheel" (TTW).</w:t>
      </w:r>
    </w:p>
  </w:footnote>
  <w:footnote w:id="13">
    <w:p w14:paraId="7493A559" w14:textId="77777777" w:rsidR="00F908CA" w:rsidRDefault="00F908CA" w:rsidP="001B4719">
      <w:pPr>
        <w:pStyle w:val="Textpoznpodarou"/>
      </w:pPr>
      <w:r>
        <w:rPr>
          <w:rStyle w:val="Znakapoznpodarou"/>
        </w:rPr>
        <w:footnoteRef/>
      </w:r>
      <w:r>
        <w:t xml:space="preserve"> TTW - Druhá část analýzy WTW se nazývá od nádrže ke kolům tzv. Tank to Wheels (TTW) analýza. Posuzuje energetickou náročnost a produkci emisí skleníkových plynů při spálení paliva ve vozidle. Zohledňuje tak kvalitu jednotlivých vyrobených paliv a také možnosti spalování různých druhů paliv ve spalovacích motorech (účinnost při spalování atd.).</w:t>
      </w:r>
    </w:p>
  </w:footnote>
  <w:footnote w:id="14">
    <w:p w14:paraId="5F3B2DC2" w14:textId="77777777" w:rsidR="00F908CA" w:rsidRPr="00202AFC" w:rsidRDefault="00F908CA" w:rsidP="001B4719">
      <w:pPr>
        <w:pStyle w:val="Textpoznpodarou"/>
        <w:rPr>
          <w:i/>
          <w:szCs w:val="16"/>
        </w:rPr>
      </w:pPr>
      <w:r w:rsidRPr="00202AFC">
        <w:rPr>
          <w:noProof/>
          <w:vertAlign w:val="superscript"/>
        </w:rPr>
        <w:footnoteRef/>
      </w:r>
      <w:r w:rsidRPr="00202AFC">
        <w:rPr>
          <w:noProof/>
          <w:vertAlign w:val="superscript"/>
        </w:rPr>
        <w:t xml:space="preserve"> </w:t>
      </w:r>
      <w:r w:rsidRPr="00202AFC">
        <w:rPr>
          <w:noProof/>
        </w:rPr>
        <w:t>Povinnost zpracovat Vnitrostátní plán stanovuje nařízení Evropského parlamentu a Rady (EU) 2018/1999 o správě energetické unie a opatření v oblasti klimatu</w:t>
      </w:r>
    </w:p>
  </w:footnote>
  <w:footnote w:id="15">
    <w:p w14:paraId="7C575100" w14:textId="77777777" w:rsidR="00F908CA" w:rsidRPr="00985D8A" w:rsidRDefault="00F908CA" w:rsidP="001B4719">
      <w:pPr>
        <w:pStyle w:val="Textpoznpodarou"/>
        <w:rPr>
          <w:szCs w:val="16"/>
        </w:rPr>
      </w:pPr>
      <w:r>
        <w:rPr>
          <w:rStyle w:val="Znakapoznpodarou"/>
        </w:rPr>
        <w:footnoteRef/>
      </w:r>
      <w:r>
        <w:t xml:space="preserve"> </w:t>
      </w:r>
      <w:r w:rsidRPr="00985D8A">
        <w:rPr>
          <w:szCs w:val="16"/>
        </w:rPr>
        <w:t>Rozvoj podporovaných zdrojů energie do roku 2030, MPO, 2019</w:t>
      </w:r>
    </w:p>
  </w:footnote>
  <w:footnote w:id="16">
    <w:p w14:paraId="3CCB71EC" w14:textId="77777777" w:rsidR="00F908CA" w:rsidRPr="0065226C" w:rsidRDefault="00F908CA" w:rsidP="001B4719">
      <w:pPr>
        <w:pStyle w:val="Textkomente"/>
        <w:rPr>
          <w:sz w:val="16"/>
        </w:rPr>
      </w:pPr>
      <w:r>
        <w:rPr>
          <w:rStyle w:val="Znakapoznpodarou"/>
        </w:rPr>
        <w:footnoteRef/>
      </w:r>
      <w:r>
        <w:t xml:space="preserve"> </w:t>
      </w:r>
      <w:r w:rsidRPr="0065226C">
        <w:rPr>
          <w:noProof/>
          <w:sz w:val="16"/>
        </w:rPr>
        <w:t>V částečné přeměně zemědělských bioplynových stanic na bio</w:t>
      </w:r>
      <w:r>
        <w:rPr>
          <w:noProof/>
          <w:sz w:val="16"/>
        </w:rPr>
        <w:t>metan</w:t>
      </w:r>
      <w:r w:rsidRPr="0065226C">
        <w:rPr>
          <w:noProof/>
          <w:sz w:val="16"/>
        </w:rPr>
        <w:t>ové je synergie v podobě využití tepla. Pokud má bioplynová stanice produkovat pokročilý bio</w:t>
      </w:r>
      <w:r>
        <w:rPr>
          <w:noProof/>
          <w:sz w:val="16"/>
        </w:rPr>
        <w:t>metan</w:t>
      </w:r>
      <w:r w:rsidRPr="0065226C">
        <w:rPr>
          <w:noProof/>
          <w:sz w:val="16"/>
        </w:rPr>
        <w:t>, bude přijímat bioodpady, které vyžadují hygienizaci (zahřátí na 70 stupňů po dobu alespoň 1 hodiny) - k tmu se hodí si část kapacity kogenerační výroby ponechat a vzniklé teplo využít k hygienizaci. Upgrading bioplynu na bio</w:t>
      </w:r>
      <w:r>
        <w:rPr>
          <w:noProof/>
          <w:sz w:val="16"/>
        </w:rPr>
        <w:t>metan</w:t>
      </w:r>
      <w:r w:rsidRPr="0065226C">
        <w:rPr>
          <w:noProof/>
          <w:sz w:val="16"/>
        </w:rPr>
        <w:t xml:space="preserve"> je proces náročný na elektrickou energii, která může rovněž pocházet z kogenerace. Zemědělských bioplynových stanic je v ČR cca 400 a jsou rozptýlené po celé republice, což je výhodné k přijímání bioodpadu, který také vzniká na celém území ČR.</w:t>
      </w:r>
    </w:p>
    <w:p w14:paraId="63DE4D90" w14:textId="77777777" w:rsidR="00F908CA" w:rsidRPr="0065226C" w:rsidRDefault="00F908CA" w:rsidP="001B4719">
      <w:pPr>
        <w:pStyle w:val="Textpoznpodarou"/>
      </w:pPr>
    </w:p>
  </w:footnote>
  <w:footnote w:id="17">
    <w:p w14:paraId="62527D8E" w14:textId="77777777" w:rsidR="00F908CA" w:rsidRDefault="00F908CA" w:rsidP="001B4719">
      <w:pPr>
        <w:pStyle w:val="Textpoznpodarou"/>
      </w:pPr>
      <w:r>
        <w:rPr>
          <w:rStyle w:val="Znakapoznpodarou"/>
        </w:rPr>
        <w:footnoteRef/>
      </w:r>
      <w:r>
        <w:t xml:space="preserve"> </w:t>
      </w:r>
      <w:r w:rsidRPr="00DF3751">
        <w:rPr>
          <w:szCs w:val="16"/>
        </w:rPr>
        <w:t>NKEP – Vnitrostátní plán pro oblast energetiky a klimatu</w:t>
      </w:r>
    </w:p>
  </w:footnote>
  <w:footnote w:id="18">
    <w:p w14:paraId="03E87C92" w14:textId="0B9FC927" w:rsidR="009753AA" w:rsidRPr="009753AA" w:rsidRDefault="009753AA" w:rsidP="009753AA">
      <w:pPr>
        <w:rPr>
          <w:sz w:val="16"/>
          <w:szCs w:val="16"/>
        </w:rPr>
      </w:pPr>
      <w:r w:rsidRPr="009753AA">
        <w:rPr>
          <w:rStyle w:val="Znakapoznpodarou"/>
          <w:sz w:val="16"/>
          <w:szCs w:val="16"/>
        </w:rPr>
        <w:footnoteRef/>
      </w:r>
      <w:r w:rsidRPr="009753AA">
        <w:rPr>
          <w:sz w:val="16"/>
          <w:szCs w:val="16"/>
        </w:rPr>
        <w:t xml:space="preserve"> Vzhledem k nižší účinnosti </w:t>
      </w:r>
      <w:r>
        <w:rPr>
          <w:sz w:val="16"/>
          <w:szCs w:val="16"/>
        </w:rPr>
        <w:t xml:space="preserve">spalovacího motoru na vodík </w:t>
      </w:r>
      <w:r w:rsidRPr="009753AA">
        <w:rPr>
          <w:sz w:val="16"/>
          <w:szCs w:val="16"/>
        </w:rPr>
        <w:t>však tento typ vodíkového vozidla v dnešní době žádná z velkých automobilek nerozvíjí.</w:t>
      </w:r>
    </w:p>
    <w:p w14:paraId="043FB018" w14:textId="065B9A4A" w:rsidR="009753AA" w:rsidRDefault="009753AA">
      <w:pPr>
        <w:pStyle w:val="Textpoznpodarou"/>
      </w:pPr>
    </w:p>
  </w:footnote>
  <w:footnote w:id="19">
    <w:p w14:paraId="11A78E2D" w14:textId="77777777" w:rsidR="00F908CA" w:rsidRDefault="00F908CA" w:rsidP="001B4719">
      <w:pPr>
        <w:pStyle w:val="Textpoznpodarou"/>
      </w:pPr>
      <w:r>
        <w:rPr>
          <w:rStyle w:val="Znakapoznpodarou"/>
        </w:rPr>
        <w:footnoteRef/>
      </w:r>
      <w:r>
        <w:t xml:space="preserve"> </w:t>
      </w:r>
      <w:r w:rsidRPr="00A61976">
        <w:t>https://www.fch.europa.eu/page/certifhy-designing-first-eu-wide-green-hydrogen-guarantee-origin-new-hydrogen-market</w:t>
      </w:r>
    </w:p>
  </w:footnote>
  <w:footnote w:id="20">
    <w:p w14:paraId="640602CD" w14:textId="77777777" w:rsidR="00F908CA" w:rsidRDefault="00F908CA" w:rsidP="001B4719">
      <w:pPr>
        <w:pStyle w:val="Textpoznpodarou"/>
      </w:pPr>
      <w:r>
        <w:rPr>
          <w:rStyle w:val="Znakapoznpodarou"/>
        </w:rPr>
        <w:footnoteRef/>
      </w:r>
      <w:r>
        <w:t xml:space="preserve"> Studie společnosti Atlantic Consulting, respektive Well to Wheel Analysys of Future Automotive Fuels and Powertrains in the European Context (Joint Research Center, European Commission, Institute for Energy and Transport, 2014)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A57F2"/>
    <w:multiLevelType w:val="hybridMultilevel"/>
    <w:tmpl w:val="61CC405C"/>
    <w:lvl w:ilvl="0" w:tplc="A116390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40D1B93"/>
    <w:multiLevelType w:val="multilevel"/>
    <w:tmpl w:val="E8A48D7C"/>
    <w:styleLink w:val="VariantaA-sla"/>
    <w:lvl w:ilvl="0">
      <w:start w:val="1"/>
      <w:numFmt w:val="decimal"/>
      <w:pStyle w:val="slovanseznam"/>
      <w:lvlText w:val="%1."/>
      <w:lvlJc w:val="left"/>
      <w:pPr>
        <w:ind w:left="357" w:hanging="357"/>
      </w:pPr>
      <w:rPr>
        <w:rFonts w:hint="default"/>
      </w:rPr>
    </w:lvl>
    <w:lvl w:ilvl="1">
      <w:start w:val="1"/>
      <w:numFmt w:val="decimal"/>
      <w:pStyle w:val="slovanseznam2"/>
      <w:lvlText w:val="%1.%2."/>
      <w:lvlJc w:val="left"/>
      <w:pPr>
        <w:ind w:left="851" w:hanging="494"/>
      </w:pPr>
      <w:rPr>
        <w:rFonts w:hint="default"/>
      </w:rPr>
    </w:lvl>
    <w:lvl w:ilvl="2">
      <w:start w:val="1"/>
      <w:numFmt w:val="decimal"/>
      <w:pStyle w:val="slovanseznam3"/>
      <w:lvlText w:val="%1.%2.%3."/>
      <w:lvlJc w:val="left"/>
      <w:pPr>
        <w:ind w:left="1474" w:hanging="623"/>
      </w:pPr>
      <w:rPr>
        <w:rFonts w:hint="default"/>
      </w:rPr>
    </w:lvl>
    <w:lvl w:ilvl="3">
      <w:start w:val="1"/>
      <w:numFmt w:val="decimal"/>
      <w:pStyle w:val="slovanseznam4"/>
      <w:lvlText w:val="%1.%2.%3.%4."/>
      <w:lvlJc w:val="left"/>
      <w:pPr>
        <w:tabs>
          <w:tab w:val="num" w:pos="1474"/>
        </w:tabs>
        <w:ind w:left="2268" w:hanging="794"/>
      </w:pPr>
      <w:rPr>
        <w:rFonts w:hint="default"/>
      </w:rPr>
    </w:lvl>
    <w:lvl w:ilvl="4">
      <w:start w:val="1"/>
      <w:numFmt w:val="decimal"/>
      <w:pStyle w:val="slovanseznam5"/>
      <w:lvlText w:val="%1.%2.%3.%4.%5."/>
      <w:lvlJc w:val="left"/>
      <w:pPr>
        <w:ind w:left="3232" w:hanging="964"/>
      </w:pPr>
      <w:rPr>
        <w:rFonts w:hint="default"/>
      </w:rPr>
    </w:lvl>
    <w:lvl w:ilvl="5">
      <w:start w:val="1"/>
      <w:numFmt w:val="decimal"/>
      <w:lvlText w:val="%1.%2.%3.%4.%5.%6."/>
      <w:lvlJc w:val="left"/>
      <w:pPr>
        <w:ind w:left="4366" w:hanging="1134"/>
      </w:pPr>
      <w:rPr>
        <w:rFonts w:hint="default"/>
      </w:rPr>
    </w:lvl>
    <w:lvl w:ilvl="6">
      <w:start w:val="1"/>
      <w:numFmt w:val="decimal"/>
      <w:lvlText w:val="%1.%2.%3.%4.%5.%6.%7."/>
      <w:lvlJc w:val="left"/>
      <w:pPr>
        <w:tabs>
          <w:tab w:val="num" w:pos="3232"/>
        </w:tabs>
        <w:ind w:left="4536" w:hanging="1304"/>
      </w:pPr>
      <w:rPr>
        <w:rFonts w:hint="default"/>
      </w:rPr>
    </w:lvl>
    <w:lvl w:ilvl="7">
      <w:start w:val="1"/>
      <w:numFmt w:val="decimal"/>
      <w:lvlText w:val="%1.%2.%3.%4.%5.%6.%7.%8."/>
      <w:lvlJc w:val="left"/>
      <w:pPr>
        <w:tabs>
          <w:tab w:val="num" w:pos="3232"/>
        </w:tabs>
        <w:ind w:left="4706" w:hanging="1474"/>
      </w:pPr>
      <w:rPr>
        <w:rFonts w:hint="default"/>
      </w:rPr>
    </w:lvl>
    <w:lvl w:ilvl="8">
      <w:start w:val="1"/>
      <w:numFmt w:val="decimal"/>
      <w:lvlText w:val="%1.%2.%3.%4.%5.%6.%7.%8.%9."/>
      <w:lvlJc w:val="left"/>
      <w:pPr>
        <w:ind w:left="4876" w:hanging="1644"/>
      </w:pPr>
      <w:rPr>
        <w:rFonts w:hint="default"/>
      </w:rPr>
    </w:lvl>
  </w:abstractNum>
  <w:abstractNum w:abstractNumId="2" w15:restartNumberingAfterBreak="0">
    <w:nsid w:val="0CEE412A"/>
    <w:multiLevelType w:val="hybridMultilevel"/>
    <w:tmpl w:val="630C2328"/>
    <w:lvl w:ilvl="0" w:tplc="A2A06D4A">
      <w:start w:val="1"/>
      <w:numFmt w:val="decimal"/>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ED07213"/>
    <w:multiLevelType w:val="hybridMultilevel"/>
    <w:tmpl w:val="4EF0A5EE"/>
    <w:lvl w:ilvl="0" w:tplc="13AACB9A">
      <w:start w:val="1"/>
      <w:numFmt w:val="lowerLetter"/>
      <w:pStyle w:val="Odrkyabc"/>
      <w:lvlText w:val="%1)"/>
      <w:lvlJc w:val="left"/>
      <w:pPr>
        <w:tabs>
          <w:tab w:val="num" w:pos="680"/>
        </w:tabs>
        <w:ind w:left="680" w:hanging="396"/>
      </w:pPr>
      <w:rPr>
        <w:rFonts w:ascii="Arial" w:hAnsi="Arial" w:cs="Arial"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 w15:restartNumberingAfterBreak="0">
    <w:nsid w:val="0FF60A0E"/>
    <w:multiLevelType w:val="hybridMultilevel"/>
    <w:tmpl w:val="E4DC5712"/>
    <w:lvl w:ilvl="0" w:tplc="79960EE6">
      <w:start w:val="29"/>
      <w:numFmt w:val="bullet"/>
      <w:lvlText w:val="-"/>
      <w:lvlJc w:val="left"/>
      <w:pPr>
        <w:ind w:left="360" w:hanging="360"/>
      </w:pPr>
      <w:rPr>
        <w:rFonts w:ascii="Calibri" w:eastAsiaTheme="minorEastAsia" w:hAnsi="Calibri" w:cs="Roboto-Light"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130316F8"/>
    <w:multiLevelType w:val="multilevel"/>
    <w:tmpl w:val="3320A8B2"/>
    <w:numStyleLink w:val="VariantaB-odrky"/>
  </w:abstractNum>
  <w:abstractNum w:abstractNumId="6" w15:restartNumberingAfterBreak="0">
    <w:nsid w:val="15AF08D9"/>
    <w:multiLevelType w:val="hybridMultilevel"/>
    <w:tmpl w:val="64545B6C"/>
    <w:lvl w:ilvl="0" w:tplc="C9C633AE">
      <w:start w:val="1"/>
      <w:numFmt w:val="bullet"/>
      <w:pStyle w:val="Table-bu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15:restartNumberingAfterBreak="0">
    <w:nsid w:val="1615572B"/>
    <w:multiLevelType w:val="multilevel"/>
    <w:tmpl w:val="3320A8B2"/>
    <w:styleLink w:val="VariantaB-odrky"/>
    <w:lvl w:ilvl="0">
      <w:start w:val="1"/>
      <w:numFmt w:val="bullet"/>
      <w:pStyle w:val="SeznamsodrkamiB"/>
      <w:lvlText w:val="—"/>
      <w:lvlJc w:val="left"/>
      <w:pPr>
        <w:ind w:left="357" w:hanging="357"/>
      </w:pPr>
      <w:rPr>
        <w:rFonts w:ascii="Calibri" w:hAnsi="Calibri" w:hint="default"/>
        <w:sz w:val="16"/>
      </w:rPr>
    </w:lvl>
    <w:lvl w:ilvl="1">
      <w:start w:val="1"/>
      <w:numFmt w:val="bullet"/>
      <w:pStyle w:val="SeznamsodrkamiB2"/>
      <w:lvlText w:val=""/>
      <w:lvlJc w:val="left"/>
      <w:pPr>
        <w:ind w:left="714" w:hanging="357"/>
      </w:pPr>
      <w:rPr>
        <w:rFonts w:ascii="Wingdings" w:hAnsi="Wingdings" w:hint="default"/>
        <w:sz w:val="14"/>
      </w:rPr>
    </w:lvl>
    <w:lvl w:ilvl="2">
      <w:start w:val="1"/>
      <w:numFmt w:val="bullet"/>
      <w:pStyle w:val="SeznamsodrkamiB3"/>
      <w:lvlText w:val=""/>
      <w:lvlJc w:val="left"/>
      <w:pPr>
        <w:ind w:left="1071" w:hanging="357"/>
      </w:pPr>
      <w:rPr>
        <w:rFonts w:ascii="Wingdings 2" w:hAnsi="Wingdings 2" w:hint="default"/>
      </w:rPr>
    </w:lvl>
    <w:lvl w:ilvl="3">
      <w:start w:val="1"/>
      <w:numFmt w:val="bullet"/>
      <w:pStyle w:val="SeznamsodrkamiB4"/>
      <w:lvlText w:val=""/>
      <w:lvlJc w:val="left"/>
      <w:pPr>
        <w:ind w:left="1428" w:hanging="357"/>
      </w:pPr>
      <w:rPr>
        <w:rFonts w:ascii="Wingdings 2" w:hAnsi="Wingdings 2" w:hint="default"/>
      </w:rPr>
    </w:lvl>
    <w:lvl w:ilvl="4">
      <w:start w:val="1"/>
      <w:numFmt w:val="bullet"/>
      <w:pStyle w:val="SeznamsodrkamiB5"/>
      <w:lvlText w:val=""/>
      <w:lvlJc w:val="left"/>
      <w:pPr>
        <w:ind w:left="1785" w:hanging="357"/>
      </w:pPr>
      <w:rPr>
        <w:rFonts w:ascii="Wingdings 2" w:hAnsi="Wingdings 2" w:hint="default"/>
      </w:rPr>
    </w:lvl>
    <w:lvl w:ilvl="5">
      <w:start w:val="1"/>
      <w:numFmt w:val="bullet"/>
      <w:lvlText w:val=""/>
      <w:lvlJc w:val="left"/>
      <w:pPr>
        <w:ind w:left="2142" w:hanging="357"/>
      </w:pPr>
      <w:rPr>
        <w:rFonts w:ascii="Wingdings 2" w:hAnsi="Wingdings 2" w:cs="Times New Roman" w:hint="default"/>
      </w:rPr>
    </w:lvl>
    <w:lvl w:ilvl="6">
      <w:start w:val="1"/>
      <w:numFmt w:val="bullet"/>
      <w:lvlText w:val=""/>
      <w:lvlJc w:val="left"/>
      <w:pPr>
        <w:ind w:left="2499" w:hanging="357"/>
      </w:pPr>
      <w:rPr>
        <w:rFonts w:ascii="Wingdings 2" w:hAnsi="Wingdings 2" w:cs="Times New Roman" w:hint="default"/>
      </w:rPr>
    </w:lvl>
    <w:lvl w:ilvl="7">
      <w:start w:val="1"/>
      <w:numFmt w:val="bullet"/>
      <w:lvlText w:val=""/>
      <w:lvlJc w:val="left"/>
      <w:pPr>
        <w:ind w:left="2856" w:hanging="357"/>
      </w:pPr>
      <w:rPr>
        <w:rFonts w:ascii="Wingdings 2" w:hAnsi="Wingdings 2" w:cs="Times New Roman" w:hint="default"/>
      </w:rPr>
    </w:lvl>
    <w:lvl w:ilvl="8">
      <w:start w:val="1"/>
      <w:numFmt w:val="bullet"/>
      <w:lvlText w:val=""/>
      <w:lvlJc w:val="left"/>
      <w:pPr>
        <w:ind w:left="3213" w:hanging="357"/>
      </w:pPr>
      <w:rPr>
        <w:rFonts w:ascii="Wingdings 2" w:hAnsi="Wingdings 2" w:cs="Times New Roman" w:hint="default"/>
      </w:rPr>
    </w:lvl>
  </w:abstractNum>
  <w:abstractNum w:abstractNumId="8" w15:restartNumberingAfterBreak="0">
    <w:nsid w:val="191872DA"/>
    <w:multiLevelType w:val="multilevel"/>
    <w:tmpl w:val="E8A48D7C"/>
    <w:numStyleLink w:val="VariantaA-sla"/>
  </w:abstractNum>
  <w:abstractNum w:abstractNumId="9" w15:restartNumberingAfterBreak="0">
    <w:nsid w:val="1C5B108A"/>
    <w:multiLevelType w:val="hybridMultilevel"/>
    <w:tmpl w:val="057251FE"/>
    <w:lvl w:ilvl="0" w:tplc="0E985FDE">
      <w:start w:val="1"/>
      <w:numFmt w:val="bullet"/>
      <w:pStyle w:val="Bullet2"/>
      <w:lvlText w:val="o"/>
      <w:lvlJc w:val="left"/>
      <w:pPr>
        <w:tabs>
          <w:tab w:val="num" w:pos="720"/>
        </w:tabs>
        <w:ind w:left="720" w:hanging="360"/>
      </w:pPr>
      <w:rPr>
        <w:rFonts w:ascii="Courier New" w:hAnsi="Courier New"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C96F43"/>
    <w:multiLevelType w:val="hybridMultilevel"/>
    <w:tmpl w:val="61CC405C"/>
    <w:lvl w:ilvl="0" w:tplc="A116390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89A5EA2"/>
    <w:multiLevelType w:val="multilevel"/>
    <w:tmpl w:val="E8BAE50A"/>
    <w:numStyleLink w:val="VariantaA-odrky"/>
  </w:abstractNum>
  <w:abstractNum w:abstractNumId="12" w15:restartNumberingAfterBreak="0">
    <w:nsid w:val="2BE122D4"/>
    <w:multiLevelType w:val="hybridMultilevel"/>
    <w:tmpl w:val="DBDADD80"/>
    <w:lvl w:ilvl="0" w:tplc="2390BAB8">
      <w:start w:val="1"/>
      <w:numFmt w:val="lowerLetter"/>
      <w:lvlText w:val="%1)"/>
      <w:lvlJc w:val="left"/>
      <w:pPr>
        <w:ind w:left="720" w:hanging="360"/>
      </w:pPr>
      <w:rPr>
        <w:rFonts w:ascii="Arial" w:hAnsi="Arial" w:cs="Arial" w:hint="default"/>
        <w:sz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D2C3E08"/>
    <w:multiLevelType w:val="hybridMultilevel"/>
    <w:tmpl w:val="61CC405C"/>
    <w:lvl w:ilvl="0" w:tplc="A116390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2C7188C"/>
    <w:multiLevelType w:val="hybridMultilevel"/>
    <w:tmpl w:val="61CC405C"/>
    <w:lvl w:ilvl="0" w:tplc="A116390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F89775E"/>
    <w:multiLevelType w:val="multilevel"/>
    <w:tmpl w:val="0D8ABE32"/>
    <w:styleLink w:val="VariantaB-sla"/>
    <w:lvl w:ilvl="0">
      <w:start w:val="1"/>
      <w:numFmt w:val="decimal"/>
      <w:pStyle w:val="slovanseznamB"/>
      <w:lvlText w:val="%1)"/>
      <w:lvlJc w:val="left"/>
      <w:pPr>
        <w:ind w:left="360" w:hanging="360"/>
      </w:pPr>
      <w:rPr>
        <w:rFonts w:hint="default"/>
      </w:rPr>
    </w:lvl>
    <w:lvl w:ilvl="1">
      <w:start w:val="1"/>
      <w:numFmt w:val="lowerLetter"/>
      <w:pStyle w:val="slovanseznamB2"/>
      <w:lvlText w:val="%2)"/>
      <w:lvlJc w:val="left"/>
      <w:pPr>
        <w:ind w:left="720" w:hanging="360"/>
      </w:pPr>
      <w:rPr>
        <w:rFonts w:hint="default"/>
      </w:rPr>
    </w:lvl>
    <w:lvl w:ilvl="2">
      <w:start w:val="1"/>
      <w:numFmt w:val="lowerRoman"/>
      <w:pStyle w:val="slovanseznamB3"/>
      <w:lvlText w:val="%3)"/>
      <w:lvlJc w:val="left"/>
      <w:pPr>
        <w:ind w:left="1080" w:hanging="360"/>
      </w:pPr>
      <w:rPr>
        <w:rFonts w:hint="default"/>
      </w:rPr>
    </w:lvl>
    <w:lvl w:ilvl="3">
      <w:start w:val="1"/>
      <w:numFmt w:val="decimal"/>
      <w:pStyle w:val="slovanseznamB4"/>
      <w:lvlText w:val="(%4)"/>
      <w:lvlJc w:val="left"/>
      <w:pPr>
        <w:ind w:left="1440" w:hanging="360"/>
      </w:pPr>
      <w:rPr>
        <w:rFonts w:hint="default"/>
      </w:rPr>
    </w:lvl>
    <w:lvl w:ilvl="4">
      <w:start w:val="1"/>
      <w:numFmt w:val="lowerLetter"/>
      <w:pStyle w:val="slovanseznamB5"/>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02432C8"/>
    <w:multiLevelType w:val="hybridMultilevel"/>
    <w:tmpl w:val="751AC696"/>
    <w:lvl w:ilvl="0" w:tplc="EBF4AFEC">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7" w15:restartNumberingAfterBreak="0">
    <w:nsid w:val="51F26F75"/>
    <w:multiLevelType w:val="hybridMultilevel"/>
    <w:tmpl w:val="B044AB16"/>
    <w:lvl w:ilvl="0" w:tplc="D6ACFD54">
      <w:start w:val="1"/>
      <w:numFmt w:val="bullet"/>
      <w:pStyle w:val="Bullet1"/>
      <w:lvlText w:val=""/>
      <w:lvlJc w:val="left"/>
      <w:pPr>
        <w:tabs>
          <w:tab w:val="num" w:pos="567"/>
        </w:tabs>
        <w:ind w:left="567" w:hanging="397"/>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8A321E4"/>
    <w:multiLevelType w:val="multilevel"/>
    <w:tmpl w:val="E8BAE50A"/>
    <w:styleLink w:val="VariantaA-odrky"/>
    <w:lvl w:ilvl="0">
      <w:start w:val="1"/>
      <w:numFmt w:val="bullet"/>
      <w:pStyle w:val="Seznamsodrkami"/>
      <w:lvlText w:val=""/>
      <w:lvlJc w:val="left"/>
      <w:pPr>
        <w:ind w:left="357" w:hanging="357"/>
      </w:pPr>
      <w:rPr>
        <w:rFonts w:ascii="Wingdings" w:hAnsi="Wingdings" w:hint="default"/>
        <w:sz w:val="16"/>
      </w:rPr>
    </w:lvl>
    <w:lvl w:ilvl="1">
      <w:start w:val="1"/>
      <w:numFmt w:val="bullet"/>
      <w:pStyle w:val="Seznamsodrkami2"/>
      <w:lvlText w:val=""/>
      <w:lvlJc w:val="left"/>
      <w:pPr>
        <w:ind w:left="714" w:hanging="357"/>
      </w:pPr>
      <w:rPr>
        <w:rFonts w:ascii="Wingdings" w:hAnsi="Wingdings" w:hint="default"/>
        <w:sz w:val="14"/>
      </w:rPr>
    </w:lvl>
    <w:lvl w:ilvl="2">
      <w:start w:val="1"/>
      <w:numFmt w:val="bullet"/>
      <w:pStyle w:val="Seznamsodrkami3"/>
      <w:lvlText w:val=""/>
      <w:lvlJc w:val="left"/>
      <w:pPr>
        <w:ind w:left="1071" w:hanging="357"/>
      </w:pPr>
      <w:rPr>
        <w:rFonts w:ascii="Wingdings" w:hAnsi="Wingdings" w:hint="default"/>
        <w:sz w:val="10"/>
      </w:rPr>
    </w:lvl>
    <w:lvl w:ilvl="3">
      <w:start w:val="1"/>
      <w:numFmt w:val="bullet"/>
      <w:pStyle w:val="Seznamsodrkami4"/>
      <w:lvlText w:val=""/>
      <w:lvlJc w:val="left"/>
      <w:pPr>
        <w:ind w:left="1428" w:hanging="357"/>
      </w:pPr>
      <w:rPr>
        <w:rFonts w:ascii="Wingdings" w:hAnsi="Wingdings" w:hint="default"/>
        <w:sz w:val="10"/>
      </w:rPr>
    </w:lvl>
    <w:lvl w:ilvl="4">
      <w:start w:val="1"/>
      <w:numFmt w:val="bullet"/>
      <w:pStyle w:val="Seznamsodrkami5"/>
      <w:lvlText w:val=""/>
      <w:lvlJc w:val="left"/>
      <w:pPr>
        <w:ind w:left="1785" w:hanging="357"/>
      </w:pPr>
      <w:rPr>
        <w:rFonts w:ascii="Wingdings" w:hAnsi="Wingdings" w:hint="default"/>
        <w:sz w:val="10"/>
      </w:rPr>
    </w:lvl>
    <w:lvl w:ilvl="5">
      <w:start w:val="1"/>
      <w:numFmt w:val="bullet"/>
      <w:lvlText w:val=""/>
      <w:lvlJc w:val="left"/>
      <w:pPr>
        <w:ind w:left="2142" w:hanging="357"/>
      </w:pPr>
      <w:rPr>
        <w:rFonts w:ascii="Wingdings" w:hAnsi="Wingdings" w:hint="default"/>
        <w:sz w:val="10"/>
      </w:rPr>
    </w:lvl>
    <w:lvl w:ilvl="6">
      <w:start w:val="1"/>
      <w:numFmt w:val="bullet"/>
      <w:lvlText w:val=""/>
      <w:lvlJc w:val="left"/>
      <w:pPr>
        <w:ind w:left="2499" w:hanging="357"/>
      </w:pPr>
      <w:rPr>
        <w:rFonts w:ascii="Wingdings" w:hAnsi="Wingdings" w:hint="default"/>
        <w:sz w:val="10"/>
      </w:rPr>
    </w:lvl>
    <w:lvl w:ilvl="7">
      <w:start w:val="1"/>
      <w:numFmt w:val="bullet"/>
      <w:lvlText w:val=""/>
      <w:lvlJc w:val="left"/>
      <w:pPr>
        <w:ind w:left="2856" w:hanging="357"/>
      </w:pPr>
      <w:rPr>
        <w:rFonts w:ascii="Wingdings" w:hAnsi="Wingdings" w:hint="default"/>
        <w:sz w:val="10"/>
      </w:rPr>
    </w:lvl>
    <w:lvl w:ilvl="8">
      <w:start w:val="1"/>
      <w:numFmt w:val="bullet"/>
      <w:lvlText w:val=""/>
      <w:lvlJc w:val="left"/>
      <w:pPr>
        <w:ind w:left="3213" w:hanging="357"/>
      </w:pPr>
      <w:rPr>
        <w:rFonts w:ascii="Wingdings" w:hAnsi="Wingdings" w:hint="default"/>
        <w:color w:val="000000" w:themeColor="text1"/>
        <w:sz w:val="10"/>
      </w:rPr>
    </w:lvl>
  </w:abstractNum>
  <w:abstractNum w:abstractNumId="19" w15:restartNumberingAfterBreak="0">
    <w:nsid w:val="5AF35F43"/>
    <w:multiLevelType w:val="multilevel"/>
    <w:tmpl w:val="0D8ABE32"/>
    <w:numStyleLink w:val="VariantaB-sla"/>
  </w:abstractNum>
  <w:abstractNum w:abstractNumId="20" w15:restartNumberingAfterBreak="0">
    <w:nsid w:val="5F283AF0"/>
    <w:multiLevelType w:val="hybridMultilevel"/>
    <w:tmpl w:val="B69ADF0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6C20522B"/>
    <w:multiLevelType w:val="hybridMultilevel"/>
    <w:tmpl w:val="00B2E970"/>
    <w:lvl w:ilvl="0" w:tplc="0405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6EE1078B"/>
    <w:multiLevelType w:val="multilevel"/>
    <w:tmpl w:val="058AD108"/>
    <w:lvl w:ilvl="0">
      <w:start w:val="1"/>
      <w:numFmt w:val="decimal"/>
      <w:pStyle w:val="Nadpis1"/>
      <w:lvlText w:val="%1."/>
      <w:lvlJc w:val="left"/>
      <w:pPr>
        <w:tabs>
          <w:tab w:val="num" w:pos="567"/>
        </w:tabs>
        <w:ind w:left="567" w:hanging="567"/>
      </w:pPr>
      <w:rPr>
        <w:rFonts w:ascii="Arial" w:hAnsi="Arial" w:hint="default"/>
        <w:b/>
        <w:i w:val="0"/>
        <w:sz w:val="28"/>
      </w:rPr>
    </w:lvl>
    <w:lvl w:ilvl="1">
      <w:start w:val="1"/>
      <w:numFmt w:val="decimal"/>
      <w:pStyle w:val="Nadpis2"/>
      <w:lvlText w:val="%1.%2"/>
      <w:lvlJc w:val="left"/>
      <w:pPr>
        <w:tabs>
          <w:tab w:val="num" w:pos="567"/>
        </w:tabs>
        <w:ind w:left="567" w:hanging="567"/>
      </w:pPr>
      <w:rPr>
        <w:rFonts w:ascii="Arial" w:hAnsi="Arial" w:hint="default"/>
        <w:b/>
        <w:i w:val="0"/>
        <w:sz w:val="24"/>
      </w:rPr>
    </w:lvl>
    <w:lvl w:ilvl="2">
      <w:start w:val="1"/>
      <w:numFmt w:val="decimal"/>
      <w:pStyle w:val="Nadpis3"/>
      <w:lvlText w:val="%1.%2.%3."/>
      <w:lvlJc w:val="left"/>
      <w:pPr>
        <w:tabs>
          <w:tab w:val="num" w:pos="567"/>
        </w:tabs>
        <w:ind w:left="567" w:hanging="567"/>
      </w:pPr>
      <w:rPr>
        <w:rFonts w:ascii="Arial" w:hAnsi="Arial" w:hint="default"/>
        <w:b/>
        <w:i w:val="0"/>
        <w:sz w:val="22"/>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6F5C6BE2"/>
    <w:multiLevelType w:val="hybridMultilevel"/>
    <w:tmpl w:val="0290AF54"/>
    <w:lvl w:ilvl="0" w:tplc="96B2AC10">
      <w:start w:val="1"/>
      <w:numFmt w:val="decimal"/>
      <w:lvlText w:val="%1)"/>
      <w:lvlJc w:val="left"/>
      <w:pPr>
        <w:ind w:left="720" w:hanging="360"/>
      </w:pPr>
      <w:rPr>
        <w:rFonts w:ascii="Arial" w:hAnsi="Arial" w:cs="Arial"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760C6F8D"/>
    <w:multiLevelType w:val="hybridMultilevel"/>
    <w:tmpl w:val="D04C68CA"/>
    <w:lvl w:ilvl="0" w:tplc="0F3A73FA">
      <w:start w:val="1"/>
      <w:numFmt w:val="low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7"/>
  </w:num>
  <w:num w:numId="2">
    <w:abstractNumId w:val="18"/>
  </w:num>
  <w:num w:numId="3">
    <w:abstractNumId w:val="15"/>
  </w:num>
  <w:num w:numId="4">
    <w:abstractNumId w:val="1"/>
  </w:num>
  <w:num w:numId="5">
    <w:abstractNumId w:val="19"/>
  </w:num>
  <w:num w:numId="6">
    <w:abstractNumId w:val="11"/>
  </w:num>
  <w:num w:numId="7">
    <w:abstractNumId w:val="8"/>
  </w:num>
  <w:num w:numId="8">
    <w:abstractNumId w:val="5"/>
  </w:num>
  <w:num w:numId="9">
    <w:abstractNumId w:val="22"/>
  </w:num>
  <w:num w:numId="10">
    <w:abstractNumId w:val="17"/>
  </w:num>
  <w:num w:numId="11">
    <w:abstractNumId w:val="3"/>
  </w:num>
  <w:num w:numId="12">
    <w:abstractNumId w:val="3"/>
    <w:lvlOverride w:ilvl="0">
      <w:startOverride w:val="1"/>
    </w:lvlOverride>
  </w:num>
  <w:num w:numId="13">
    <w:abstractNumId w:val="23"/>
  </w:num>
  <w:num w:numId="14">
    <w:abstractNumId w:val="9"/>
  </w:num>
  <w:num w:numId="15">
    <w:abstractNumId w:val="20"/>
  </w:num>
  <w:num w:numId="16">
    <w:abstractNumId w:val="16"/>
  </w:num>
  <w:num w:numId="17">
    <w:abstractNumId w:val="4"/>
  </w:num>
  <w:num w:numId="18">
    <w:abstractNumId w:val="2"/>
  </w:num>
  <w:num w:numId="19">
    <w:abstractNumId w:val="10"/>
  </w:num>
  <w:num w:numId="20">
    <w:abstractNumId w:val="12"/>
  </w:num>
  <w:num w:numId="21">
    <w:abstractNumId w:val="24"/>
  </w:num>
  <w:num w:numId="22">
    <w:abstractNumId w:val="21"/>
  </w:num>
  <w:num w:numId="23">
    <w:abstractNumId w:val="13"/>
  </w:num>
  <w:num w:numId="24">
    <w:abstractNumId w:val="14"/>
  </w:num>
  <w:num w:numId="25">
    <w:abstractNumId w:val="0"/>
  </w:num>
  <w:num w:numId="26">
    <w:abstractNumId w:val="3"/>
    <w:lvlOverride w:ilvl="0">
      <w:startOverride w:val="1"/>
    </w:lvlOverride>
  </w:num>
  <w:num w:numId="27">
    <w:abstractNumId w:val="3"/>
    <w:lvlOverride w:ilvl="0">
      <w:startOverride w:val="1"/>
    </w:lvlOverride>
  </w:num>
  <w:num w:numId="28">
    <w:abstractNumId w:val="3"/>
    <w:lvlOverride w:ilvl="0">
      <w:startOverride w:val="1"/>
    </w:lvlOverride>
  </w:num>
  <w:num w:numId="29">
    <w:abstractNumId w:val="3"/>
    <w:lvlOverride w:ilvl="0">
      <w:startOverride w:val="1"/>
    </w:lvlOverride>
  </w:num>
  <w:num w:numId="30">
    <w:abstractNumId w:val="3"/>
    <w:lvlOverride w:ilvl="0">
      <w:startOverride w:val="1"/>
    </w:lvlOverride>
  </w:num>
  <w:num w:numId="31">
    <w:abstractNumId w:val="3"/>
    <w:lvlOverride w:ilvl="0">
      <w:startOverride w:val="1"/>
    </w:lvlOverride>
  </w:num>
  <w:num w:numId="32">
    <w:abstractNumId w:val="6"/>
  </w:num>
  <w:num w:numId="33">
    <w:abstractNumId w:val="3"/>
    <w:lvlOverride w:ilvl="0">
      <w:startOverride w:val="1"/>
    </w:lvlOverride>
  </w:num>
  <w:num w:numId="34">
    <w:abstractNumId w:val="3"/>
    <w:lvlOverride w:ilvl="0">
      <w:startOverride w:val="1"/>
    </w:lvlOverride>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22"/>
  </w:num>
  <w:num w:numId="38">
    <w:abstractNumId w:val="22"/>
  </w:num>
  <w:num w:numId="39">
    <w:abstractNumId w:val="2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removeDateAndTime/>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defaultTabStop w:val="708"/>
  <w:hyphenationZone w:val="425"/>
  <w:characterSpacingControl w:val="doNotCompress"/>
  <w:hdrShapeDefaults>
    <o:shapedefaults v:ext="edit" spidmax="51201"/>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4719"/>
    <w:rsid w:val="000050AA"/>
    <w:rsid w:val="00015306"/>
    <w:rsid w:val="0002674B"/>
    <w:rsid w:val="00027CA5"/>
    <w:rsid w:val="0004162E"/>
    <w:rsid w:val="0004786B"/>
    <w:rsid w:val="00063405"/>
    <w:rsid w:val="00073994"/>
    <w:rsid w:val="000809B9"/>
    <w:rsid w:val="00090B40"/>
    <w:rsid w:val="00095A0A"/>
    <w:rsid w:val="000B1B3D"/>
    <w:rsid w:val="000C4CAF"/>
    <w:rsid w:val="000D6551"/>
    <w:rsid w:val="000F23C2"/>
    <w:rsid w:val="0010624A"/>
    <w:rsid w:val="00121485"/>
    <w:rsid w:val="001268B0"/>
    <w:rsid w:val="00132B7A"/>
    <w:rsid w:val="00160FAE"/>
    <w:rsid w:val="001614BC"/>
    <w:rsid w:val="00166047"/>
    <w:rsid w:val="0018051B"/>
    <w:rsid w:val="00190DCC"/>
    <w:rsid w:val="001B1E4A"/>
    <w:rsid w:val="001B4719"/>
    <w:rsid w:val="001D27C0"/>
    <w:rsid w:val="001E74C3"/>
    <w:rsid w:val="001F6937"/>
    <w:rsid w:val="00220DE3"/>
    <w:rsid w:val="0025290D"/>
    <w:rsid w:val="00260372"/>
    <w:rsid w:val="00262DAF"/>
    <w:rsid w:val="002725B2"/>
    <w:rsid w:val="00272A35"/>
    <w:rsid w:val="00276F69"/>
    <w:rsid w:val="002811B7"/>
    <w:rsid w:val="00285AED"/>
    <w:rsid w:val="002B448E"/>
    <w:rsid w:val="002E2442"/>
    <w:rsid w:val="002F0E8C"/>
    <w:rsid w:val="0030433F"/>
    <w:rsid w:val="00310FA0"/>
    <w:rsid w:val="00320481"/>
    <w:rsid w:val="003250CB"/>
    <w:rsid w:val="00345B32"/>
    <w:rsid w:val="00363201"/>
    <w:rsid w:val="00365E96"/>
    <w:rsid w:val="0039063C"/>
    <w:rsid w:val="0039797C"/>
    <w:rsid w:val="003A46A8"/>
    <w:rsid w:val="003A51AA"/>
    <w:rsid w:val="003B565A"/>
    <w:rsid w:val="003D00A1"/>
    <w:rsid w:val="003E1F8B"/>
    <w:rsid w:val="0041427F"/>
    <w:rsid w:val="004509E5"/>
    <w:rsid w:val="004711BD"/>
    <w:rsid w:val="00486FB9"/>
    <w:rsid w:val="004C212A"/>
    <w:rsid w:val="004C4A02"/>
    <w:rsid w:val="00500232"/>
    <w:rsid w:val="00504668"/>
    <w:rsid w:val="00507ED6"/>
    <w:rsid w:val="005455E1"/>
    <w:rsid w:val="00546698"/>
    <w:rsid w:val="005502BD"/>
    <w:rsid w:val="00556787"/>
    <w:rsid w:val="00577F41"/>
    <w:rsid w:val="00582276"/>
    <w:rsid w:val="005C2560"/>
    <w:rsid w:val="005F7585"/>
    <w:rsid w:val="00605759"/>
    <w:rsid w:val="00650C6C"/>
    <w:rsid w:val="00652FE6"/>
    <w:rsid w:val="00667898"/>
    <w:rsid w:val="00667DEF"/>
    <w:rsid w:val="00677FE0"/>
    <w:rsid w:val="006A06F0"/>
    <w:rsid w:val="006D04EF"/>
    <w:rsid w:val="006E2FB0"/>
    <w:rsid w:val="006E3160"/>
    <w:rsid w:val="007102D2"/>
    <w:rsid w:val="00710BEF"/>
    <w:rsid w:val="00713948"/>
    <w:rsid w:val="007369B6"/>
    <w:rsid w:val="007533BD"/>
    <w:rsid w:val="00753A27"/>
    <w:rsid w:val="0077443D"/>
    <w:rsid w:val="00775A75"/>
    <w:rsid w:val="0079342A"/>
    <w:rsid w:val="007B4949"/>
    <w:rsid w:val="007E54C7"/>
    <w:rsid w:val="007F0BC6"/>
    <w:rsid w:val="00831374"/>
    <w:rsid w:val="00833A2A"/>
    <w:rsid w:val="00844941"/>
    <w:rsid w:val="00857580"/>
    <w:rsid w:val="00865238"/>
    <w:rsid w:val="008667BF"/>
    <w:rsid w:val="00866DA0"/>
    <w:rsid w:val="00872FC3"/>
    <w:rsid w:val="00895645"/>
    <w:rsid w:val="008A7851"/>
    <w:rsid w:val="008B0827"/>
    <w:rsid w:val="008C3371"/>
    <w:rsid w:val="008C3782"/>
    <w:rsid w:val="008D4A32"/>
    <w:rsid w:val="008D593A"/>
    <w:rsid w:val="008E461F"/>
    <w:rsid w:val="008E4DD1"/>
    <w:rsid w:val="008E7760"/>
    <w:rsid w:val="008F2344"/>
    <w:rsid w:val="008F5CA5"/>
    <w:rsid w:val="00910690"/>
    <w:rsid w:val="00911A05"/>
    <w:rsid w:val="00922001"/>
    <w:rsid w:val="00922C17"/>
    <w:rsid w:val="00942DDD"/>
    <w:rsid w:val="009516A8"/>
    <w:rsid w:val="009753AA"/>
    <w:rsid w:val="0097705C"/>
    <w:rsid w:val="009D5EDE"/>
    <w:rsid w:val="009F393D"/>
    <w:rsid w:val="009F7F46"/>
    <w:rsid w:val="00A000BF"/>
    <w:rsid w:val="00A055E0"/>
    <w:rsid w:val="00A0587E"/>
    <w:rsid w:val="00A275BC"/>
    <w:rsid w:val="00A464B4"/>
    <w:rsid w:val="00A63D6B"/>
    <w:rsid w:val="00A71162"/>
    <w:rsid w:val="00A84B52"/>
    <w:rsid w:val="00A8660F"/>
    <w:rsid w:val="00A95C48"/>
    <w:rsid w:val="00AA7056"/>
    <w:rsid w:val="00AB31C6"/>
    <w:rsid w:val="00AB523B"/>
    <w:rsid w:val="00AD7E40"/>
    <w:rsid w:val="00AE0202"/>
    <w:rsid w:val="00B0291C"/>
    <w:rsid w:val="00B1036C"/>
    <w:rsid w:val="00B1477A"/>
    <w:rsid w:val="00B20629"/>
    <w:rsid w:val="00B20993"/>
    <w:rsid w:val="00B42E96"/>
    <w:rsid w:val="00B50EE6"/>
    <w:rsid w:val="00B52185"/>
    <w:rsid w:val="00B9753A"/>
    <w:rsid w:val="00BB119E"/>
    <w:rsid w:val="00BB479C"/>
    <w:rsid w:val="00BC4720"/>
    <w:rsid w:val="00BD293D"/>
    <w:rsid w:val="00BD75A2"/>
    <w:rsid w:val="00C12A6B"/>
    <w:rsid w:val="00C161E8"/>
    <w:rsid w:val="00C2017A"/>
    <w:rsid w:val="00C2026B"/>
    <w:rsid w:val="00C20470"/>
    <w:rsid w:val="00C34B2F"/>
    <w:rsid w:val="00C4641B"/>
    <w:rsid w:val="00C6690E"/>
    <w:rsid w:val="00C703C5"/>
    <w:rsid w:val="00C805F2"/>
    <w:rsid w:val="00C9032A"/>
    <w:rsid w:val="00C95FCA"/>
    <w:rsid w:val="00C96EFE"/>
    <w:rsid w:val="00CA2F24"/>
    <w:rsid w:val="00CA523C"/>
    <w:rsid w:val="00CB1AE6"/>
    <w:rsid w:val="00CC212B"/>
    <w:rsid w:val="00CC5E40"/>
    <w:rsid w:val="00D1569F"/>
    <w:rsid w:val="00D20B1E"/>
    <w:rsid w:val="00D20BD4"/>
    <w:rsid w:val="00D22462"/>
    <w:rsid w:val="00D230AC"/>
    <w:rsid w:val="00D30107"/>
    <w:rsid w:val="00D32489"/>
    <w:rsid w:val="00D3349E"/>
    <w:rsid w:val="00D73CB8"/>
    <w:rsid w:val="00DA7591"/>
    <w:rsid w:val="00DB16AB"/>
    <w:rsid w:val="00DB753E"/>
    <w:rsid w:val="00DD5E22"/>
    <w:rsid w:val="00DF768A"/>
    <w:rsid w:val="00E32798"/>
    <w:rsid w:val="00E33CC8"/>
    <w:rsid w:val="00E51C91"/>
    <w:rsid w:val="00E667C1"/>
    <w:rsid w:val="00EC3F88"/>
    <w:rsid w:val="00ED36D8"/>
    <w:rsid w:val="00EE6BD7"/>
    <w:rsid w:val="00EF3C02"/>
    <w:rsid w:val="00EF45AE"/>
    <w:rsid w:val="00F0689D"/>
    <w:rsid w:val="00F32C3F"/>
    <w:rsid w:val="00F36AFD"/>
    <w:rsid w:val="00F908CA"/>
    <w:rsid w:val="00FB01B5"/>
    <w:rsid w:val="00FD73E5"/>
    <w:rsid w:val="00FF345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45C25D65"/>
  <w15:docId w15:val="{62B3863D-6C9A-406A-AE4D-B634083B8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qFormat="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Bullet 5" w:semiHidden="1" w:unhideWhenUsed="1" w:qFormat="1"/>
    <w:lsdException w:name="List Number 2" w:qFormat="1"/>
    <w:lsdException w:name="List Number 3" w:qFormat="1"/>
    <w:lsdException w:name="List Number 4" w:qFormat="1"/>
    <w:lsdException w:name="List Number 5"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8"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7443D"/>
    <w:pPr>
      <w:spacing w:before="120" w:after="120" w:line="240" w:lineRule="auto"/>
    </w:pPr>
    <w:rPr>
      <w:rFonts w:ascii="Arial" w:eastAsia="Times New Roman" w:hAnsi="Arial" w:cs="Times New Roman"/>
      <w:szCs w:val="24"/>
      <w:lang w:eastAsia="cs-CZ"/>
    </w:rPr>
  </w:style>
  <w:style w:type="paragraph" w:styleId="Nadpis1">
    <w:name w:val="heading 1"/>
    <w:basedOn w:val="Normln"/>
    <w:next w:val="Normln"/>
    <w:link w:val="Nadpis1Char"/>
    <w:qFormat/>
    <w:rsid w:val="00D20BD4"/>
    <w:pPr>
      <w:keepNext/>
      <w:numPr>
        <w:numId w:val="39"/>
      </w:numPr>
      <w:spacing w:before="240" w:after="240"/>
      <w:outlineLvl w:val="0"/>
    </w:pPr>
    <w:rPr>
      <w:rFonts w:cs="Arial"/>
      <w:b/>
      <w:bCs/>
      <w:kern w:val="32"/>
      <w:sz w:val="28"/>
      <w:szCs w:val="32"/>
    </w:rPr>
  </w:style>
  <w:style w:type="paragraph" w:styleId="Nadpis2">
    <w:name w:val="heading 2"/>
    <w:basedOn w:val="Normln"/>
    <w:next w:val="Normln"/>
    <w:link w:val="Nadpis2Char"/>
    <w:qFormat/>
    <w:rsid w:val="00D20BD4"/>
    <w:pPr>
      <w:keepNext/>
      <w:numPr>
        <w:ilvl w:val="1"/>
        <w:numId w:val="39"/>
      </w:numPr>
      <w:spacing w:before="240" w:after="240"/>
      <w:outlineLvl w:val="1"/>
    </w:pPr>
    <w:rPr>
      <w:rFonts w:cs="Arial"/>
      <w:b/>
      <w:bCs/>
      <w:iCs/>
      <w:sz w:val="24"/>
      <w:szCs w:val="28"/>
    </w:rPr>
  </w:style>
  <w:style w:type="paragraph" w:styleId="Nadpis3">
    <w:name w:val="heading 3"/>
    <w:basedOn w:val="Normln"/>
    <w:next w:val="Normln"/>
    <w:link w:val="Nadpis3Char"/>
    <w:qFormat/>
    <w:rsid w:val="00D20BD4"/>
    <w:pPr>
      <w:keepNext/>
      <w:numPr>
        <w:ilvl w:val="2"/>
        <w:numId w:val="39"/>
      </w:numPr>
      <w:spacing w:before="240" w:after="240"/>
      <w:outlineLvl w:val="2"/>
    </w:pPr>
    <w:rPr>
      <w:rFonts w:cs="Arial"/>
      <w:b/>
      <w:bCs/>
      <w:szCs w:val="26"/>
    </w:rPr>
  </w:style>
  <w:style w:type="paragraph" w:styleId="Nadpis4">
    <w:name w:val="heading 4"/>
    <w:basedOn w:val="Normln"/>
    <w:next w:val="Normln"/>
    <w:link w:val="Nadpis4Char"/>
    <w:qFormat/>
    <w:rsid w:val="00D20BD4"/>
    <w:pPr>
      <w:keepNext/>
      <w:numPr>
        <w:ilvl w:val="3"/>
        <w:numId w:val="39"/>
      </w:numPr>
      <w:spacing w:before="240" w:after="240"/>
      <w:outlineLvl w:val="3"/>
    </w:pPr>
    <w:rPr>
      <w:b/>
      <w:bCs/>
      <w:szCs w:val="28"/>
    </w:rPr>
  </w:style>
  <w:style w:type="paragraph" w:styleId="Nadpis5">
    <w:name w:val="heading 5"/>
    <w:basedOn w:val="Normln"/>
    <w:next w:val="Normln"/>
    <w:link w:val="Nadpis5Char"/>
    <w:uiPriority w:val="99"/>
    <w:unhideWhenUsed/>
    <w:qFormat/>
    <w:rsid w:val="00C6690E"/>
    <w:pPr>
      <w:keepNext/>
      <w:keepLines/>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99"/>
    <w:unhideWhenUsed/>
    <w:qFormat/>
    <w:rsid w:val="00C6690E"/>
    <w:pPr>
      <w:keepNext/>
      <w:keepLines/>
      <w:spacing w:before="40" w:after="0"/>
      <w:outlineLvl w:val="5"/>
    </w:pPr>
    <w:rPr>
      <w:rFonts w:asciiTheme="majorHAnsi" w:eastAsiaTheme="majorEastAsia" w:hAnsiTheme="majorHAnsi" w:cstheme="majorBidi"/>
      <w:i/>
    </w:rPr>
  </w:style>
  <w:style w:type="paragraph" w:styleId="Nadpis7">
    <w:name w:val="heading 7"/>
    <w:basedOn w:val="Normln"/>
    <w:next w:val="Normln"/>
    <w:link w:val="Nadpis7Char"/>
    <w:uiPriority w:val="99"/>
    <w:unhideWhenUsed/>
    <w:qFormat/>
    <w:rsid w:val="00C6690E"/>
    <w:pPr>
      <w:keepNext/>
      <w:keepLines/>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9"/>
    <w:unhideWhenUsed/>
    <w:qFormat/>
    <w:rsid w:val="00A95C48"/>
    <w:pPr>
      <w:keepNext/>
      <w:keepLines/>
      <w:spacing w:before="40" w:after="0"/>
      <w:outlineLvl w:val="7"/>
    </w:pPr>
    <w:rPr>
      <w:rFonts w:asciiTheme="majorHAnsi" w:eastAsiaTheme="majorEastAsia" w:hAnsiTheme="majorHAnsi" w:cstheme="majorBidi"/>
      <w:b/>
      <w:color w:val="272727" w:themeColor="text1" w:themeTint="D8"/>
      <w:szCs w:val="21"/>
    </w:rPr>
  </w:style>
  <w:style w:type="paragraph" w:styleId="Nadpis9">
    <w:name w:val="heading 9"/>
    <w:aliases w:val="Příloha"/>
    <w:basedOn w:val="Normln"/>
    <w:next w:val="Normln"/>
    <w:link w:val="Nadpis9Char"/>
    <w:uiPriority w:val="99"/>
    <w:unhideWhenUsed/>
    <w:qFormat/>
    <w:rsid w:val="00A95C4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aliases w:val="Odrážky 1,seznam písmena"/>
    <w:basedOn w:val="Normln"/>
    <w:link w:val="OdstavecseseznamemChar"/>
    <w:uiPriority w:val="34"/>
    <w:unhideWhenUsed/>
    <w:qFormat/>
    <w:rsid w:val="009F7F46"/>
    <w:pPr>
      <w:ind w:left="720"/>
      <w:contextualSpacing/>
    </w:pPr>
  </w:style>
  <w:style w:type="numbering" w:customStyle="1" w:styleId="VariantaB-odrky">
    <w:name w:val="Varianta B - odrážky"/>
    <w:uiPriority w:val="99"/>
    <w:rsid w:val="007102D2"/>
    <w:pPr>
      <w:numPr>
        <w:numId w:val="1"/>
      </w:numPr>
    </w:pPr>
  </w:style>
  <w:style w:type="character" w:customStyle="1" w:styleId="Nadpis1Char">
    <w:name w:val="Nadpis 1 Char"/>
    <w:basedOn w:val="Standardnpsmoodstavce"/>
    <w:link w:val="Nadpis1"/>
    <w:rsid w:val="00D20BD4"/>
    <w:rPr>
      <w:rFonts w:ascii="Arial" w:eastAsia="Times New Roman" w:hAnsi="Arial" w:cs="Arial"/>
      <w:b/>
      <w:bCs/>
      <w:kern w:val="32"/>
      <w:sz w:val="28"/>
      <w:szCs w:val="32"/>
      <w:lang w:eastAsia="cs-CZ"/>
    </w:rPr>
  </w:style>
  <w:style w:type="numbering" w:customStyle="1" w:styleId="VariantaA-odrky">
    <w:name w:val="Varianta A - odrážky"/>
    <w:uiPriority w:val="99"/>
    <w:rsid w:val="00262DAF"/>
    <w:pPr>
      <w:numPr>
        <w:numId w:val="2"/>
      </w:numPr>
    </w:pPr>
  </w:style>
  <w:style w:type="character" w:customStyle="1" w:styleId="Nadpis2Char">
    <w:name w:val="Nadpis 2 Char"/>
    <w:basedOn w:val="Standardnpsmoodstavce"/>
    <w:link w:val="Nadpis2"/>
    <w:rsid w:val="00D20BD4"/>
    <w:rPr>
      <w:rFonts w:ascii="Arial" w:eastAsia="Times New Roman" w:hAnsi="Arial" w:cs="Arial"/>
      <w:b/>
      <w:bCs/>
      <w:iCs/>
      <w:sz w:val="24"/>
      <w:szCs w:val="28"/>
      <w:lang w:eastAsia="cs-CZ"/>
    </w:rPr>
  </w:style>
  <w:style w:type="numbering" w:customStyle="1" w:styleId="VariantaA-sla">
    <w:name w:val="Varianta A - čísla"/>
    <w:uiPriority w:val="99"/>
    <w:rsid w:val="00B50EE6"/>
    <w:pPr>
      <w:numPr>
        <w:numId w:val="4"/>
      </w:numPr>
    </w:pPr>
  </w:style>
  <w:style w:type="numbering" w:customStyle="1" w:styleId="VariantaB-sla">
    <w:name w:val="Varianta B - čísla"/>
    <w:uiPriority w:val="99"/>
    <w:rsid w:val="009F7F46"/>
    <w:pPr>
      <w:numPr>
        <w:numId w:val="3"/>
      </w:numPr>
    </w:pPr>
  </w:style>
  <w:style w:type="character" w:customStyle="1" w:styleId="Nadpis3Char">
    <w:name w:val="Nadpis 3 Char"/>
    <w:basedOn w:val="Standardnpsmoodstavce"/>
    <w:link w:val="Nadpis3"/>
    <w:rsid w:val="00D20BD4"/>
    <w:rPr>
      <w:rFonts w:ascii="Arial" w:eastAsia="Times New Roman" w:hAnsi="Arial" w:cs="Arial"/>
      <w:b/>
      <w:bCs/>
      <w:szCs w:val="26"/>
      <w:lang w:eastAsia="cs-CZ"/>
    </w:rPr>
  </w:style>
  <w:style w:type="character" w:customStyle="1" w:styleId="Nadpis4Char">
    <w:name w:val="Nadpis 4 Char"/>
    <w:basedOn w:val="Standardnpsmoodstavce"/>
    <w:link w:val="Nadpis4"/>
    <w:rsid w:val="00D20BD4"/>
    <w:rPr>
      <w:rFonts w:ascii="Arial" w:eastAsia="Times New Roman" w:hAnsi="Arial" w:cs="Times New Roman"/>
      <w:b/>
      <w:bCs/>
      <w:szCs w:val="28"/>
      <w:lang w:eastAsia="cs-CZ"/>
    </w:rPr>
  </w:style>
  <w:style w:type="character" w:customStyle="1" w:styleId="Nadpis5Char">
    <w:name w:val="Nadpis 5 Char"/>
    <w:basedOn w:val="Standardnpsmoodstavce"/>
    <w:link w:val="Nadpis5"/>
    <w:uiPriority w:val="99"/>
    <w:rsid w:val="003250CB"/>
    <w:rPr>
      <w:rFonts w:asciiTheme="majorHAnsi" w:eastAsiaTheme="majorEastAsia" w:hAnsiTheme="majorHAnsi" w:cstheme="majorBidi"/>
      <w:b/>
      <w:color w:val="000000" w:themeColor="text1"/>
    </w:rPr>
  </w:style>
  <w:style w:type="character" w:customStyle="1" w:styleId="Nadpis6Char">
    <w:name w:val="Nadpis 6 Char"/>
    <w:basedOn w:val="Standardnpsmoodstavce"/>
    <w:link w:val="Nadpis6"/>
    <w:uiPriority w:val="99"/>
    <w:rsid w:val="003250CB"/>
    <w:rPr>
      <w:rFonts w:asciiTheme="majorHAnsi" w:eastAsiaTheme="majorEastAsia" w:hAnsiTheme="majorHAnsi" w:cstheme="majorBidi"/>
      <w:i/>
      <w:color w:val="000000" w:themeColor="text1"/>
    </w:rPr>
  </w:style>
  <w:style w:type="character" w:customStyle="1" w:styleId="Nadpis7Char">
    <w:name w:val="Nadpis 7 Char"/>
    <w:basedOn w:val="Standardnpsmoodstavce"/>
    <w:link w:val="Nadpis7"/>
    <w:uiPriority w:val="99"/>
    <w:rsid w:val="003250CB"/>
    <w:rPr>
      <w:rFonts w:asciiTheme="majorHAnsi" w:eastAsiaTheme="majorEastAsia" w:hAnsiTheme="majorHAnsi" w:cstheme="majorBidi"/>
      <w:iCs/>
      <w:color w:val="000000" w:themeColor="text1"/>
    </w:rPr>
  </w:style>
  <w:style w:type="character" w:customStyle="1" w:styleId="Nadpis8Char">
    <w:name w:val="Nadpis 8 Char"/>
    <w:basedOn w:val="Standardnpsmoodstavce"/>
    <w:link w:val="Nadpis8"/>
    <w:uiPriority w:val="99"/>
    <w:rsid w:val="003250CB"/>
    <w:rPr>
      <w:rFonts w:asciiTheme="majorHAnsi" w:eastAsiaTheme="majorEastAsia" w:hAnsiTheme="majorHAnsi" w:cstheme="majorBidi"/>
      <w:b/>
      <w:color w:val="272727" w:themeColor="text1" w:themeTint="D8"/>
      <w:szCs w:val="21"/>
    </w:rPr>
  </w:style>
  <w:style w:type="character" w:customStyle="1" w:styleId="Nadpis9Char">
    <w:name w:val="Nadpis 9 Char"/>
    <w:aliases w:val="Příloha Char"/>
    <w:basedOn w:val="Standardnpsmoodstavce"/>
    <w:link w:val="Nadpis9"/>
    <w:uiPriority w:val="99"/>
    <w:rsid w:val="003250CB"/>
    <w:rPr>
      <w:rFonts w:asciiTheme="majorHAnsi" w:eastAsiaTheme="majorEastAsia" w:hAnsiTheme="majorHAnsi" w:cstheme="majorBidi"/>
      <w:i/>
      <w:iCs/>
      <w:color w:val="272727" w:themeColor="text1" w:themeTint="D8"/>
      <w:sz w:val="21"/>
      <w:szCs w:val="21"/>
    </w:rPr>
  </w:style>
  <w:style w:type="paragraph" w:styleId="Nzev">
    <w:name w:val="Title"/>
    <w:basedOn w:val="Normln"/>
    <w:next w:val="Normln"/>
    <w:link w:val="NzevChar"/>
    <w:uiPriority w:val="10"/>
    <w:qFormat/>
    <w:rsid w:val="00A63D6B"/>
    <w:pPr>
      <w:keepNext/>
      <w:keepLines/>
      <w:spacing w:after="0"/>
      <w:contextualSpacing/>
    </w:pPr>
    <w:rPr>
      <w:rFonts w:asciiTheme="majorHAnsi" w:eastAsiaTheme="majorEastAsia" w:hAnsiTheme="majorHAnsi" w:cstheme="majorBidi"/>
      <w:spacing w:val="-10"/>
      <w:kern w:val="28"/>
      <w:sz w:val="48"/>
      <w:szCs w:val="56"/>
    </w:rPr>
  </w:style>
  <w:style w:type="character" w:customStyle="1" w:styleId="NzevChar">
    <w:name w:val="Název Char"/>
    <w:basedOn w:val="Standardnpsmoodstavce"/>
    <w:link w:val="Nzev"/>
    <w:uiPriority w:val="10"/>
    <w:rsid w:val="003250CB"/>
    <w:rPr>
      <w:rFonts w:asciiTheme="majorHAnsi" w:eastAsiaTheme="majorEastAsia" w:hAnsiTheme="majorHAnsi" w:cstheme="majorBidi"/>
      <w:color w:val="000000" w:themeColor="text1"/>
      <w:spacing w:val="-10"/>
      <w:kern w:val="28"/>
      <w:sz w:val="48"/>
      <w:szCs w:val="56"/>
    </w:rPr>
  </w:style>
  <w:style w:type="character" w:styleId="Zdraznnintenzivn">
    <w:name w:val="Intense Emphasis"/>
    <w:basedOn w:val="Standardnpsmoodstavce"/>
    <w:uiPriority w:val="21"/>
    <w:qFormat/>
    <w:rsid w:val="00EE6BD7"/>
    <w:rPr>
      <w:b/>
      <w:i/>
      <w:iCs/>
      <w:color w:val="000000" w:themeColor="text1"/>
    </w:rPr>
  </w:style>
  <w:style w:type="paragraph" w:styleId="Vrazncitt">
    <w:name w:val="Intense Quote"/>
    <w:basedOn w:val="Normln"/>
    <w:next w:val="Normln"/>
    <w:link w:val="VrazncittChar"/>
    <w:uiPriority w:val="30"/>
    <w:qFormat/>
    <w:rsid w:val="00713948"/>
    <w:pPr>
      <w:keepLines/>
      <w:pBdr>
        <w:top w:val="single" w:sz="4" w:space="10" w:color="000000" w:themeColor="text1"/>
        <w:bottom w:val="single" w:sz="4" w:space="10" w:color="000000" w:themeColor="text1"/>
      </w:pBdr>
      <w:spacing w:before="240" w:after="240"/>
      <w:ind w:left="357" w:right="357"/>
    </w:pPr>
    <w:rPr>
      <w:i/>
      <w:iCs/>
    </w:rPr>
  </w:style>
  <w:style w:type="character" w:customStyle="1" w:styleId="VrazncittChar">
    <w:name w:val="Výrazný citát Char"/>
    <w:basedOn w:val="Standardnpsmoodstavce"/>
    <w:link w:val="Vrazncitt"/>
    <w:uiPriority w:val="30"/>
    <w:rsid w:val="00713948"/>
    <w:rPr>
      <w:i/>
      <w:iCs/>
      <w:color w:val="000000" w:themeColor="text1"/>
    </w:rPr>
  </w:style>
  <w:style w:type="character" w:styleId="Odkazintenzivn">
    <w:name w:val="Intense Reference"/>
    <w:basedOn w:val="Standardnpsmoodstavce"/>
    <w:uiPriority w:val="32"/>
    <w:qFormat/>
    <w:rsid w:val="0039063C"/>
    <w:rPr>
      <w:b/>
      <w:bCs/>
      <w:smallCaps/>
      <w:color w:val="000000" w:themeColor="text1"/>
      <w:spacing w:val="5"/>
    </w:rPr>
  </w:style>
  <w:style w:type="paragraph" w:styleId="slovanseznam">
    <w:name w:val="List Number"/>
    <w:aliases w:val="Číslovaný seznam A"/>
    <w:basedOn w:val="Normln"/>
    <w:uiPriority w:val="15"/>
    <w:qFormat/>
    <w:rsid w:val="001B1E4A"/>
    <w:pPr>
      <w:numPr>
        <w:numId w:val="7"/>
      </w:numPr>
      <w:spacing w:after="0"/>
    </w:pPr>
  </w:style>
  <w:style w:type="paragraph" w:styleId="slovanseznam2">
    <w:name w:val="List Number 2"/>
    <w:aliases w:val="Číslovaný seznam A 2"/>
    <w:basedOn w:val="Normln"/>
    <w:uiPriority w:val="15"/>
    <w:qFormat/>
    <w:rsid w:val="001B1E4A"/>
    <w:pPr>
      <w:numPr>
        <w:ilvl w:val="1"/>
        <w:numId w:val="7"/>
      </w:numPr>
      <w:spacing w:after="0"/>
      <w:contextualSpacing/>
    </w:pPr>
  </w:style>
  <w:style w:type="paragraph" w:styleId="slovanseznam3">
    <w:name w:val="List Number 3"/>
    <w:aliases w:val="Číslovaný seznam A 3"/>
    <w:basedOn w:val="Normln"/>
    <w:uiPriority w:val="15"/>
    <w:qFormat/>
    <w:rsid w:val="001B1E4A"/>
    <w:pPr>
      <w:numPr>
        <w:ilvl w:val="2"/>
        <w:numId w:val="7"/>
      </w:numPr>
      <w:spacing w:after="0"/>
      <w:contextualSpacing/>
    </w:pPr>
  </w:style>
  <w:style w:type="paragraph" w:styleId="slovanseznam4">
    <w:name w:val="List Number 4"/>
    <w:aliases w:val="Číslovaný seznam A 4"/>
    <w:basedOn w:val="Normln"/>
    <w:uiPriority w:val="15"/>
    <w:qFormat/>
    <w:rsid w:val="001B1E4A"/>
    <w:pPr>
      <w:numPr>
        <w:ilvl w:val="3"/>
        <w:numId w:val="7"/>
      </w:numPr>
      <w:spacing w:after="0"/>
      <w:contextualSpacing/>
    </w:pPr>
  </w:style>
  <w:style w:type="paragraph" w:styleId="slovanseznam5">
    <w:name w:val="List Number 5"/>
    <w:aliases w:val="Číslovaný seznam A 5"/>
    <w:basedOn w:val="Normln"/>
    <w:uiPriority w:val="15"/>
    <w:qFormat/>
    <w:rsid w:val="001B1E4A"/>
    <w:pPr>
      <w:numPr>
        <w:ilvl w:val="4"/>
        <w:numId w:val="7"/>
      </w:numPr>
      <w:spacing w:after="0"/>
      <w:contextualSpacing/>
    </w:pPr>
  </w:style>
  <w:style w:type="paragraph" w:customStyle="1" w:styleId="slovanseznamB">
    <w:name w:val="Číslovaný seznam B"/>
    <w:basedOn w:val="Normln"/>
    <w:uiPriority w:val="16"/>
    <w:qFormat/>
    <w:rsid w:val="009F7F46"/>
    <w:pPr>
      <w:numPr>
        <w:numId w:val="5"/>
      </w:numPr>
      <w:spacing w:after="0"/>
    </w:pPr>
  </w:style>
  <w:style w:type="paragraph" w:customStyle="1" w:styleId="slovanseznamB2">
    <w:name w:val="Číslovaný seznam B 2"/>
    <w:basedOn w:val="Normln"/>
    <w:uiPriority w:val="16"/>
    <w:qFormat/>
    <w:rsid w:val="009F7F46"/>
    <w:pPr>
      <w:numPr>
        <w:ilvl w:val="1"/>
        <w:numId w:val="5"/>
      </w:numPr>
      <w:spacing w:after="0"/>
    </w:pPr>
  </w:style>
  <w:style w:type="paragraph" w:customStyle="1" w:styleId="slovanseznamB3">
    <w:name w:val="Číslovaný seznam B 3"/>
    <w:basedOn w:val="Normln"/>
    <w:uiPriority w:val="16"/>
    <w:qFormat/>
    <w:rsid w:val="009F7F46"/>
    <w:pPr>
      <w:numPr>
        <w:ilvl w:val="2"/>
        <w:numId w:val="5"/>
      </w:numPr>
      <w:spacing w:after="0"/>
    </w:pPr>
  </w:style>
  <w:style w:type="paragraph" w:customStyle="1" w:styleId="slovanseznamB4">
    <w:name w:val="Číslovaný seznam B 4"/>
    <w:basedOn w:val="Normln"/>
    <w:uiPriority w:val="16"/>
    <w:qFormat/>
    <w:rsid w:val="009F7F46"/>
    <w:pPr>
      <w:numPr>
        <w:ilvl w:val="3"/>
        <w:numId w:val="5"/>
      </w:numPr>
      <w:spacing w:after="0"/>
    </w:pPr>
  </w:style>
  <w:style w:type="paragraph" w:customStyle="1" w:styleId="slovanseznamB5">
    <w:name w:val="Číslovaný seznam B 5"/>
    <w:basedOn w:val="Normln"/>
    <w:uiPriority w:val="16"/>
    <w:qFormat/>
    <w:rsid w:val="009F7F46"/>
    <w:pPr>
      <w:numPr>
        <w:ilvl w:val="4"/>
        <w:numId w:val="5"/>
      </w:numPr>
      <w:spacing w:after="0"/>
    </w:pPr>
  </w:style>
  <w:style w:type="paragraph" w:styleId="Seznamsodrkami3">
    <w:name w:val="List Bullet 3"/>
    <w:aliases w:val="Seznam s odrážkami A 3"/>
    <w:basedOn w:val="Normln"/>
    <w:uiPriority w:val="10"/>
    <w:qFormat/>
    <w:rsid w:val="00262DAF"/>
    <w:pPr>
      <w:numPr>
        <w:ilvl w:val="2"/>
        <w:numId w:val="6"/>
      </w:numPr>
      <w:spacing w:after="0"/>
      <w:contextualSpacing/>
    </w:pPr>
  </w:style>
  <w:style w:type="paragraph" w:styleId="Seznamsodrkami4">
    <w:name w:val="List Bullet 4"/>
    <w:aliases w:val="Seznam s odrážkami A 4"/>
    <w:basedOn w:val="Normln"/>
    <w:uiPriority w:val="10"/>
    <w:qFormat/>
    <w:rsid w:val="00262DAF"/>
    <w:pPr>
      <w:numPr>
        <w:ilvl w:val="3"/>
        <w:numId w:val="6"/>
      </w:numPr>
      <w:spacing w:after="0"/>
      <w:contextualSpacing/>
    </w:pPr>
  </w:style>
  <w:style w:type="paragraph" w:styleId="Seznamsodrkami5">
    <w:name w:val="List Bullet 5"/>
    <w:aliases w:val="Seznam s odrážkami A 5"/>
    <w:basedOn w:val="Normln"/>
    <w:uiPriority w:val="10"/>
    <w:qFormat/>
    <w:rsid w:val="00262DAF"/>
    <w:pPr>
      <w:numPr>
        <w:ilvl w:val="4"/>
        <w:numId w:val="6"/>
      </w:numPr>
      <w:spacing w:after="0"/>
    </w:pPr>
  </w:style>
  <w:style w:type="paragraph" w:styleId="Seznamsodrkami">
    <w:name w:val="List Bullet"/>
    <w:aliases w:val="Seznam s odrážkami A"/>
    <w:basedOn w:val="Normln"/>
    <w:uiPriority w:val="10"/>
    <w:qFormat/>
    <w:rsid w:val="00262DAF"/>
    <w:pPr>
      <w:numPr>
        <w:numId w:val="6"/>
      </w:numPr>
      <w:spacing w:after="0"/>
      <w:contextualSpacing/>
    </w:pPr>
  </w:style>
  <w:style w:type="paragraph" w:styleId="Seznamsodrkami2">
    <w:name w:val="List Bullet 2"/>
    <w:aliases w:val="Seznam s odrážkami A 2"/>
    <w:basedOn w:val="Normln"/>
    <w:uiPriority w:val="10"/>
    <w:qFormat/>
    <w:rsid w:val="00262DAF"/>
    <w:pPr>
      <w:numPr>
        <w:ilvl w:val="1"/>
        <w:numId w:val="6"/>
      </w:numPr>
      <w:spacing w:after="0"/>
      <w:contextualSpacing/>
    </w:pPr>
  </w:style>
  <w:style w:type="paragraph" w:customStyle="1" w:styleId="Nadpis1-mimoobsah">
    <w:name w:val="Nadpis 1 - mimo obsah"/>
    <w:basedOn w:val="Normln"/>
    <w:next w:val="Normln"/>
    <w:uiPriority w:val="8"/>
    <w:qFormat/>
    <w:rsid w:val="00831374"/>
    <w:pPr>
      <w:keepNext/>
      <w:keepLines/>
      <w:spacing w:before="160" w:after="0"/>
    </w:pPr>
    <w:rPr>
      <w:rFonts w:asciiTheme="majorHAnsi" w:hAnsiTheme="majorHAnsi"/>
      <w:b/>
      <w:sz w:val="28"/>
    </w:rPr>
  </w:style>
  <w:style w:type="paragraph" w:customStyle="1" w:styleId="Nadpis2-mimoobsah">
    <w:name w:val="Nadpis 2 - mimo obsah"/>
    <w:basedOn w:val="Normln"/>
    <w:next w:val="Normln"/>
    <w:uiPriority w:val="8"/>
    <w:qFormat/>
    <w:rsid w:val="00AB523B"/>
    <w:pPr>
      <w:keepNext/>
      <w:keepLines/>
      <w:spacing w:before="80" w:after="0"/>
    </w:pPr>
    <w:rPr>
      <w:rFonts w:asciiTheme="majorHAnsi" w:hAnsiTheme="majorHAnsi"/>
      <w:b/>
      <w:sz w:val="26"/>
    </w:rPr>
  </w:style>
  <w:style w:type="paragraph" w:customStyle="1" w:styleId="Nadpis3-mimoobsah">
    <w:name w:val="Nadpis 3 - mimo obsah"/>
    <w:basedOn w:val="Normln"/>
    <w:next w:val="Normln"/>
    <w:uiPriority w:val="8"/>
    <w:qFormat/>
    <w:rsid w:val="00BB479C"/>
    <w:pPr>
      <w:keepNext/>
      <w:keepLines/>
      <w:spacing w:before="40" w:after="0"/>
    </w:pPr>
    <w:rPr>
      <w:rFonts w:asciiTheme="majorHAnsi" w:hAnsiTheme="majorHAnsi"/>
      <w:b/>
      <w:sz w:val="24"/>
    </w:rPr>
  </w:style>
  <w:style w:type="paragraph" w:customStyle="1" w:styleId="Nadpis4-mimoobsah">
    <w:name w:val="Nadpis 4 - mimo obsah"/>
    <w:basedOn w:val="Normln"/>
    <w:next w:val="Normln"/>
    <w:uiPriority w:val="8"/>
    <w:qFormat/>
    <w:rsid w:val="00BB479C"/>
    <w:pPr>
      <w:keepNext/>
      <w:keepLines/>
      <w:spacing w:before="40" w:after="0"/>
    </w:pPr>
    <w:rPr>
      <w:rFonts w:asciiTheme="majorHAnsi" w:hAnsiTheme="majorHAnsi"/>
      <w:i/>
      <w:sz w:val="24"/>
    </w:rPr>
  </w:style>
  <w:style w:type="paragraph" w:customStyle="1" w:styleId="Nadpis5-mimoobsah">
    <w:name w:val="Nadpis 5 - mimo obsah"/>
    <w:basedOn w:val="Normln"/>
    <w:next w:val="Normln"/>
    <w:uiPriority w:val="8"/>
    <w:qFormat/>
    <w:rsid w:val="00BB479C"/>
    <w:pPr>
      <w:keepNext/>
      <w:keepLines/>
      <w:spacing w:before="40" w:after="0"/>
    </w:pPr>
    <w:rPr>
      <w:rFonts w:asciiTheme="majorHAnsi" w:hAnsiTheme="majorHAnsi"/>
      <w:b/>
    </w:rPr>
  </w:style>
  <w:style w:type="paragraph" w:customStyle="1" w:styleId="Nadpis7mimoobsah">
    <w:name w:val="Nadpis 7 mimo obsah"/>
    <w:basedOn w:val="Normln"/>
    <w:next w:val="Normln"/>
    <w:uiPriority w:val="8"/>
    <w:qFormat/>
    <w:rsid w:val="00BB479C"/>
    <w:pPr>
      <w:keepNext/>
      <w:keepLines/>
      <w:spacing w:before="40" w:after="0"/>
    </w:pPr>
    <w:rPr>
      <w:rFonts w:asciiTheme="majorHAnsi" w:hAnsiTheme="majorHAnsi"/>
    </w:rPr>
  </w:style>
  <w:style w:type="paragraph" w:customStyle="1" w:styleId="Nadpis6mimoobsah">
    <w:name w:val="Nadpis 6 mimo obsah"/>
    <w:basedOn w:val="Normln"/>
    <w:next w:val="Normln"/>
    <w:uiPriority w:val="8"/>
    <w:qFormat/>
    <w:rsid w:val="00A95C48"/>
    <w:pPr>
      <w:keepNext/>
      <w:keepLines/>
      <w:spacing w:before="40" w:after="0"/>
    </w:pPr>
    <w:rPr>
      <w:rFonts w:asciiTheme="majorHAnsi" w:hAnsiTheme="majorHAnsi"/>
      <w:i/>
    </w:rPr>
  </w:style>
  <w:style w:type="paragraph" w:customStyle="1" w:styleId="Nadpis8mimoobsah">
    <w:name w:val="Nadpis 8 mimo obsah"/>
    <w:basedOn w:val="Normln"/>
    <w:next w:val="Normln"/>
    <w:uiPriority w:val="8"/>
    <w:qFormat/>
    <w:rsid w:val="00A95C48"/>
    <w:pPr>
      <w:keepNext/>
      <w:keepLines/>
      <w:spacing w:before="40" w:after="0"/>
    </w:pPr>
    <w:rPr>
      <w:rFonts w:asciiTheme="majorHAnsi" w:hAnsiTheme="majorHAnsi"/>
      <w:b/>
      <w:sz w:val="21"/>
      <w:szCs w:val="21"/>
    </w:rPr>
  </w:style>
  <w:style w:type="paragraph" w:customStyle="1" w:styleId="Nadpis9mimoobsah">
    <w:name w:val="Nadpis 9 mimo obsah"/>
    <w:basedOn w:val="Normln"/>
    <w:next w:val="Normln"/>
    <w:uiPriority w:val="8"/>
    <w:qFormat/>
    <w:rsid w:val="00A95C48"/>
    <w:pPr>
      <w:keepNext/>
      <w:keepLines/>
      <w:spacing w:before="40" w:after="0"/>
    </w:pPr>
    <w:rPr>
      <w:rFonts w:asciiTheme="majorHAnsi" w:hAnsiTheme="majorHAnsi"/>
      <w:i/>
      <w:sz w:val="21"/>
      <w:szCs w:val="21"/>
    </w:rPr>
  </w:style>
  <w:style w:type="paragraph" w:styleId="Podtitul">
    <w:name w:val="Subtitle"/>
    <w:basedOn w:val="Normln"/>
    <w:next w:val="Normln"/>
    <w:link w:val="PodtitulChar"/>
    <w:qFormat/>
    <w:rsid w:val="008D4A32"/>
    <w:pPr>
      <w:numPr>
        <w:ilvl w:val="1"/>
      </w:numPr>
    </w:pPr>
    <w:rPr>
      <w:rFonts w:eastAsiaTheme="minorEastAsia"/>
      <w:color w:val="595959" w:themeColor="text1" w:themeTint="A6"/>
      <w:spacing w:val="15"/>
      <w:sz w:val="28"/>
    </w:rPr>
  </w:style>
  <w:style w:type="character" w:customStyle="1" w:styleId="PodtitulChar">
    <w:name w:val="Podtitul Char"/>
    <w:basedOn w:val="Standardnpsmoodstavce"/>
    <w:link w:val="Podtitul"/>
    <w:rsid w:val="003250CB"/>
    <w:rPr>
      <w:rFonts w:eastAsiaTheme="minorEastAsia"/>
      <w:color w:val="595959" w:themeColor="text1" w:themeTint="A6"/>
      <w:spacing w:val="15"/>
      <w:sz w:val="28"/>
    </w:rPr>
  </w:style>
  <w:style w:type="paragraph" w:styleId="Obsah1">
    <w:name w:val="toc 1"/>
    <w:basedOn w:val="Normln"/>
    <w:next w:val="Normln"/>
    <w:autoRedefine/>
    <w:uiPriority w:val="39"/>
    <w:unhideWhenUsed/>
    <w:rsid w:val="0077443D"/>
    <w:pPr>
      <w:tabs>
        <w:tab w:val="left" w:pos="440"/>
        <w:tab w:val="right" w:leader="dot" w:pos="9628"/>
      </w:tabs>
      <w:spacing w:after="100"/>
    </w:pPr>
    <w:rPr>
      <w:rFonts w:eastAsiaTheme="majorEastAsia"/>
      <w:b/>
      <w:noProof/>
      <w:sz w:val="28"/>
    </w:rPr>
  </w:style>
  <w:style w:type="paragraph" w:styleId="Obsah2">
    <w:name w:val="toc 2"/>
    <w:basedOn w:val="Normln"/>
    <w:next w:val="Normln"/>
    <w:autoRedefine/>
    <w:uiPriority w:val="39"/>
    <w:unhideWhenUsed/>
    <w:rsid w:val="0077443D"/>
    <w:pPr>
      <w:spacing w:after="100"/>
      <w:ind w:left="220"/>
    </w:pPr>
    <w:rPr>
      <w:b/>
      <w:sz w:val="24"/>
    </w:rPr>
  </w:style>
  <w:style w:type="paragraph" w:styleId="Obsah3">
    <w:name w:val="toc 3"/>
    <w:basedOn w:val="Normln"/>
    <w:next w:val="Normln"/>
    <w:autoRedefine/>
    <w:uiPriority w:val="39"/>
    <w:unhideWhenUsed/>
    <w:rsid w:val="00D22462"/>
    <w:pPr>
      <w:spacing w:after="100"/>
      <w:ind w:left="440"/>
    </w:pPr>
  </w:style>
  <w:style w:type="paragraph" w:styleId="Obsah4">
    <w:name w:val="toc 4"/>
    <w:basedOn w:val="Normln"/>
    <w:next w:val="Normln"/>
    <w:autoRedefine/>
    <w:uiPriority w:val="39"/>
    <w:unhideWhenUsed/>
    <w:rsid w:val="00D22462"/>
    <w:pPr>
      <w:spacing w:after="100"/>
      <w:ind w:left="660"/>
    </w:pPr>
  </w:style>
  <w:style w:type="paragraph" w:styleId="Obsah5">
    <w:name w:val="toc 5"/>
    <w:basedOn w:val="Normln"/>
    <w:next w:val="Normln"/>
    <w:autoRedefine/>
    <w:uiPriority w:val="39"/>
    <w:unhideWhenUsed/>
    <w:rsid w:val="00D22462"/>
    <w:pPr>
      <w:spacing w:after="100"/>
      <w:ind w:left="880"/>
    </w:pPr>
  </w:style>
  <w:style w:type="paragraph" w:styleId="Obsah6">
    <w:name w:val="toc 6"/>
    <w:basedOn w:val="Normln"/>
    <w:next w:val="Normln"/>
    <w:autoRedefine/>
    <w:uiPriority w:val="39"/>
    <w:unhideWhenUsed/>
    <w:rsid w:val="00D22462"/>
    <w:pPr>
      <w:spacing w:after="100"/>
      <w:ind w:left="1100"/>
    </w:pPr>
  </w:style>
  <w:style w:type="paragraph" w:styleId="Obsah7">
    <w:name w:val="toc 7"/>
    <w:basedOn w:val="Normln"/>
    <w:next w:val="Normln"/>
    <w:autoRedefine/>
    <w:uiPriority w:val="39"/>
    <w:unhideWhenUsed/>
    <w:rsid w:val="00D22462"/>
    <w:pPr>
      <w:spacing w:after="100"/>
      <w:ind w:left="1320"/>
    </w:pPr>
  </w:style>
  <w:style w:type="paragraph" w:styleId="Obsah8">
    <w:name w:val="toc 8"/>
    <w:basedOn w:val="Normln"/>
    <w:next w:val="Normln"/>
    <w:autoRedefine/>
    <w:uiPriority w:val="39"/>
    <w:unhideWhenUsed/>
    <w:rsid w:val="00D22462"/>
    <w:pPr>
      <w:spacing w:after="100"/>
      <w:ind w:left="1540"/>
    </w:pPr>
  </w:style>
  <w:style w:type="paragraph" w:styleId="Obsah9">
    <w:name w:val="toc 9"/>
    <w:basedOn w:val="Normln"/>
    <w:next w:val="Normln"/>
    <w:autoRedefine/>
    <w:uiPriority w:val="39"/>
    <w:unhideWhenUsed/>
    <w:rsid w:val="00D22462"/>
    <w:pPr>
      <w:spacing w:after="100"/>
      <w:ind w:left="1760"/>
    </w:pPr>
  </w:style>
  <w:style w:type="character" w:styleId="Hypertextovodkaz">
    <w:name w:val="Hyperlink"/>
    <w:basedOn w:val="Standardnpsmoodstavce"/>
    <w:uiPriority w:val="99"/>
    <w:unhideWhenUsed/>
    <w:rsid w:val="00D22462"/>
    <w:rPr>
      <w:color w:val="004B8D" w:themeColor="hyperlink"/>
      <w:u w:val="single"/>
    </w:rPr>
  </w:style>
  <w:style w:type="character" w:styleId="Zdraznnjemn">
    <w:name w:val="Subtle Emphasis"/>
    <w:basedOn w:val="Standardnpsmoodstavce"/>
    <w:uiPriority w:val="19"/>
    <w:qFormat/>
    <w:rsid w:val="00A275BC"/>
    <w:rPr>
      <w:i/>
      <w:iCs/>
      <w:color w:val="595959" w:themeColor="text1" w:themeTint="A6"/>
    </w:rPr>
  </w:style>
  <w:style w:type="character" w:styleId="Odkazjemn">
    <w:name w:val="Subtle Reference"/>
    <w:basedOn w:val="Standardnpsmoodstavce"/>
    <w:uiPriority w:val="31"/>
    <w:qFormat/>
    <w:rsid w:val="00A275BC"/>
    <w:rPr>
      <w:smallCaps/>
      <w:color w:val="5A5A5A" w:themeColor="text1" w:themeTint="A5"/>
    </w:rPr>
  </w:style>
  <w:style w:type="paragraph" w:styleId="Citt">
    <w:name w:val="Quote"/>
    <w:basedOn w:val="Normln"/>
    <w:next w:val="Normln"/>
    <w:link w:val="CittChar"/>
    <w:uiPriority w:val="29"/>
    <w:qFormat/>
    <w:rsid w:val="00713948"/>
    <w:pPr>
      <w:keepLines/>
      <w:spacing w:before="240"/>
      <w:ind w:left="357" w:right="357"/>
    </w:pPr>
    <w:rPr>
      <w:i/>
      <w:iCs/>
      <w:color w:val="595959" w:themeColor="text1" w:themeTint="A6"/>
    </w:rPr>
  </w:style>
  <w:style w:type="character" w:customStyle="1" w:styleId="CittChar">
    <w:name w:val="Citát Char"/>
    <w:basedOn w:val="Standardnpsmoodstavce"/>
    <w:link w:val="Citt"/>
    <w:uiPriority w:val="29"/>
    <w:rsid w:val="00713948"/>
    <w:rPr>
      <w:i/>
      <w:iCs/>
      <w:color w:val="595959" w:themeColor="text1" w:themeTint="A6"/>
    </w:rPr>
  </w:style>
  <w:style w:type="character" w:styleId="Zdraznn">
    <w:name w:val="Emphasis"/>
    <w:basedOn w:val="Standardnpsmoodstavce"/>
    <w:uiPriority w:val="20"/>
    <w:qFormat/>
    <w:rsid w:val="00713948"/>
    <w:rPr>
      <w:i/>
      <w:iCs/>
    </w:rPr>
  </w:style>
  <w:style w:type="paragraph" w:styleId="Nadpisobsahu">
    <w:name w:val="TOC Heading"/>
    <w:basedOn w:val="Nadpis1-mimoobsah"/>
    <w:next w:val="Normln"/>
    <w:uiPriority w:val="39"/>
    <w:unhideWhenUsed/>
    <w:qFormat/>
    <w:rsid w:val="003B565A"/>
  </w:style>
  <w:style w:type="paragraph" w:styleId="Datum">
    <w:name w:val="Date"/>
    <w:basedOn w:val="Normln"/>
    <w:next w:val="Normln"/>
    <w:link w:val="DatumChar"/>
    <w:uiPriority w:val="31"/>
    <w:unhideWhenUsed/>
    <w:rsid w:val="00486FB9"/>
  </w:style>
  <w:style w:type="character" w:customStyle="1" w:styleId="DatumChar">
    <w:name w:val="Datum Char"/>
    <w:basedOn w:val="Standardnpsmoodstavce"/>
    <w:link w:val="Datum"/>
    <w:uiPriority w:val="31"/>
    <w:rsid w:val="005455E1"/>
    <w:rPr>
      <w:color w:val="000000" w:themeColor="text1"/>
    </w:rPr>
  </w:style>
  <w:style w:type="paragraph" w:styleId="Textvbloku">
    <w:name w:val="Block Text"/>
    <w:basedOn w:val="Normln"/>
    <w:uiPriority w:val="29"/>
    <w:unhideWhenUsed/>
    <w:rsid w:val="009516A8"/>
    <w:pPr>
      <w:pBdr>
        <w:top w:val="single" w:sz="2" w:space="10" w:color="000000" w:themeColor="text1"/>
        <w:left w:val="single" w:sz="2" w:space="10" w:color="000000" w:themeColor="text1"/>
        <w:bottom w:val="single" w:sz="2" w:space="10" w:color="000000" w:themeColor="text1"/>
        <w:right w:val="single" w:sz="2" w:space="10" w:color="000000" w:themeColor="text1"/>
      </w:pBdr>
      <w:ind w:left="357" w:right="357"/>
    </w:pPr>
    <w:rPr>
      <w:rFonts w:eastAsiaTheme="minorEastAsia"/>
      <w:i/>
      <w:iCs/>
    </w:rPr>
  </w:style>
  <w:style w:type="character" w:styleId="Sledovanodkaz">
    <w:name w:val="FollowedHyperlink"/>
    <w:basedOn w:val="Standardnpsmoodstavce"/>
    <w:uiPriority w:val="99"/>
    <w:semiHidden/>
    <w:unhideWhenUsed/>
    <w:rsid w:val="00486FB9"/>
    <w:rPr>
      <w:color w:val="595959" w:themeColor="text1" w:themeTint="A6"/>
      <w:u w:val="single"/>
    </w:rPr>
  </w:style>
  <w:style w:type="paragraph" w:styleId="Zkladntext">
    <w:name w:val="Body Text"/>
    <w:basedOn w:val="Normln"/>
    <w:link w:val="ZkladntextChar"/>
    <w:rsid w:val="009F393D"/>
  </w:style>
  <w:style w:type="character" w:customStyle="1" w:styleId="ZkladntextChar">
    <w:name w:val="Základní text Char"/>
    <w:basedOn w:val="Standardnpsmoodstavce"/>
    <w:link w:val="Zkladntext"/>
    <w:rsid w:val="009F393D"/>
    <w:rPr>
      <w:color w:val="000000" w:themeColor="text1"/>
    </w:rPr>
  </w:style>
  <w:style w:type="paragraph" w:styleId="Zkladntext-prvnodsazen">
    <w:name w:val="Body Text First Indent"/>
    <w:basedOn w:val="Zkladntext"/>
    <w:link w:val="Zkladntext-prvnodsazenChar"/>
    <w:uiPriority w:val="1"/>
    <w:rsid w:val="009F393D"/>
    <w:pPr>
      <w:ind w:firstLine="357"/>
    </w:pPr>
  </w:style>
  <w:style w:type="character" w:customStyle="1" w:styleId="Zkladntext-prvnodsazenChar">
    <w:name w:val="Základní text - první odsazený Char"/>
    <w:basedOn w:val="ZkladntextChar"/>
    <w:link w:val="Zkladntext-prvnodsazen"/>
    <w:uiPriority w:val="1"/>
    <w:rsid w:val="009F393D"/>
    <w:rPr>
      <w:color w:val="000000" w:themeColor="text1"/>
    </w:rPr>
  </w:style>
  <w:style w:type="paragraph" w:styleId="Zkladntextodsazen">
    <w:name w:val="Body Text Indent"/>
    <w:basedOn w:val="Normln"/>
    <w:link w:val="ZkladntextodsazenChar"/>
    <w:uiPriority w:val="1"/>
    <w:rsid w:val="009F393D"/>
    <w:pPr>
      <w:ind w:left="357"/>
    </w:pPr>
  </w:style>
  <w:style w:type="character" w:customStyle="1" w:styleId="ZkladntextodsazenChar">
    <w:name w:val="Základní text odsazený Char"/>
    <w:basedOn w:val="Standardnpsmoodstavce"/>
    <w:link w:val="Zkladntextodsazen"/>
    <w:uiPriority w:val="1"/>
    <w:rsid w:val="00C805F2"/>
    <w:rPr>
      <w:color w:val="000000" w:themeColor="text1"/>
    </w:rPr>
  </w:style>
  <w:style w:type="paragraph" w:customStyle="1" w:styleId="SeznamsodrkamiB">
    <w:name w:val="Seznam s odrážkami B"/>
    <w:basedOn w:val="Normln"/>
    <w:uiPriority w:val="11"/>
    <w:qFormat/>
    <w:rsid w:val="007102D2"/>
    <w:pPr>
      <w:numPr>
        <w:numId w:val="8"/>
      </w:numPr>
      <w:spacing w:after="0"/>
    </w:pPr>
  </w:style>
  <w:style w:type="paragraph" w:customStyle="1" w:styleId="SeznamsodrkamiB2">
    <w:name w:val="Seznam s odrážkami B 2"/>
    <w:basedOn w:val="Normln"/>
    <w:uiPriority w:val="11"/>
    <w:qFormat/>
    <w:rsid w:val="007102D2"/>
    <w:pPr>
      <w:numPr>
        <w:ilvl w:val="1"/>
        <w:numId w:val="8"/>
      </w:numPr>
      <w:spacing w:after="0"/>
    </w:pPr>
  </w:style>
  <w:style w:type="paragraph" w:customStyle="1" w:styleId="SeznamsodrkamiB3">
    <w:name w:val="Seznam s odrážkami B 3"/>
    <w:basedOn w:val="Normln"/>
    <w:uiPriority w:val="11"/>
    <w:qFormat/>
    <w:rsid w:val="007102D2"/>
    <w:pPr>
      <w:numPr>
        <w:ilvl w:val="2"/>
        <w:numId w:val="8"/>
      </w:numPr>
      <w:spacing w:after="0"/>
    </w:pPr>
  </w:style>
  <w:style w:type="paragraph" w:customStyle="1" w:styleId="SeznamsodrkamiB4">
    <w:name w:val="Seznam s odrážkami B 4"/>
    <w:basedOn w:val="Normln"/>
    <w:uiPriority w:val="11"/>
    <w:qFormat/>
    <w:rsid w:val="007102D2"/>
    <w:pPr>
      <w:numPr>
        <w:ilvl w:val="3"/>
        <w:numId w:val="8"/>
      </w:numPr>
      <w:spacing w:after="0"/>
    </w:pPr>
  </w:style>
  <w:style w:type="paragraph" w:customStyle="1" w:styleId="SeznamsodrkamiB5">
    <w:name w:val="Seznam s odrážkami B 5"/>
    <w:basedOn w:val="Normln"/>
    <w:uiPriority w:val="11"/>
    <w:qFormat/>
    <w:rsid w:val="007102D2"/>
    <w:pPr>
      <w:numPr>
        <w:ilvl w:val="4"/>
        <w:numId w:val="8"/>
      </w:numPr>
      <w:spacing w:after="0"/>
    </w:pPr>
  </w:style>
  <w:style w:type="paragraph" w:styleId="Zhlav">
    <w:name w:val="header"/>
    <w:basedOn w:val="Normln"/>
    <w:link w:val="ZhlavChar"/>
    <w:uiPriority w:val="99"/>
    <w:unhideWhenUsed/>
    <w:rsid w:val="00677FE0"/>
    <w:pPr>
      <w:tabs>
        <w:tab w:val="center" w:pos="4536"/>
        <w:tab w:val="right" w:pos="9072"/>
      </w:tabs>
      <w:spacing w:after="0"/>
    </w:pPr>
  </w:style>
  <w:style w:type="character" w:customStyle="1" w:styleId="ZhlavChar">
    <w:name w:val="Záhlaví Char"/>
    <w:basedOn w:val="Standardnpsmoodstavce"/>
    <w:link w:val="Zhlav"/>
    <w:uiPriority w:val="99"/>
    <w:rsid w:val="00677FE0"/>
    <w:rPr>
      <w:color w:val="000000" w:themeColor="text1"/>
    </w:rPr>
  </w:style>
  <w:style w:type="paragraph" w:styleId="Zpat">
    <w:name w:val="footer"/>
    <w:basedOn w:val="Normln"/>
    <w:link w:val="ZpatChar"/>
    <w:uiPriority w:val="99"/>
    <w:unhideWhenUsed/>
    <w:rsid w:val="00677FE0"/>
    <w:pPr>
      <w:tabs>
        <w:tab w:val="center" w:pos="4536"/>
        <w:tab w:val="right" w:pos="9072"/>
      </w:tabs>
      <w:spacing w:after="0"/>
    </w:pPr>
  </w:style>
  <w:style w:type="character" w:customStyle="1" w:styleId="ZpatChar">
    <w:name w:val="Zápatí Char"/>
    <w:basedOn w:val="Standardnpsmoodstavce"/>
    <w:link w:val="Zpat"/>
    <w:uiPriority w:val="99"/>
    <w:rsid w:val="00677FE0"/>
    <w:rPr>
      <w:color w:val="000000" w:themeColor="text1"/>
    </w:rPr>
  </w:style>
  <w:style w:type="character" w:styleId="Odkaznakoment">
    <w:name w:val="annotation reference"/>
    <w:uiPriority w:val="99"/>
    <w:semiHidden/>
    <w:rsid w:val="001B4719"/>
    <w:rPr>
      <w:sz w:val="16"/>
      <w:szCs w:val="16"/>
    </w:rPr>
  </w:style>
  <w:style w:type="paragraph" w:styleId="Textkomente">
    <w:name w:val="annotation text"/>
    <w:basedOn w:val="Normln"/>
    <w:link w:val="TextkomenteChar1"/>
    <w:uiPriority w:val="99"/>
    <w:rsid w:val="001B4719"/>
    <w:rPr>
      <w:sz w:val="20"/>
      <w:szCs w:val="20"/>
    </w:rPr>
  </w:style>
  <w:style w:type="character" w:customStyle="1" w:styleId="TextkomenteChar">
    <w:name w:val="Text komentáře Char"/>
    <w:basedOn w:val="Standardnpsmoodstavce"/>
    <w:uiPriority w:val="99"/>
    <w:rsid w:val="001B4719"/>
    <w:rPr>
      <w:rFonts w:ascii="Arial" w:eastAsia="Times New Roman" w:hAnsi="Arial" w:cs="Times New Roman"/>
      <w:sz w:val="20"/>
      <w:szCs w:val="20"/>
      <w:lang w:eastAsia="cs-CZ"/>
    </w:rPr>
  </w:style>
  <w:style w:type="character" w:customStyle="1" w:styleId="TextkomenteChar1">
    <w:name w:val="Text komentáře Char1"/>
    <w:basedOn w:val="Standardnpsmoodstavce"/>
    <w:link w:val="Textkomente"/>
    <w:uiPriority w:val="99"/>
    <w:rsid w:val="001B4719"/>
    <w:rPr>
      <w:rFonts w:ascii="Arial" w:eastAsia="Times New Roman" w:hAnsi="Arial" w:cs="Times New Roman"/>
      <w:sz w:val="20"/>
      <w:szCs w:val="20"/>
      <w:lang w:eastAsia="cs-CZ"/>
    </w:rPr>
  </w:style>
  <w:style w:type="character" w:customStyle="1" w:styleId="OdstavecseseznamemChar">
    <w:name w:val="Odstavec se seznamem Char"/>
    <w:aliases w:val="Odrážky 1 Char,seznam písmena Char"/>
    <w:basedOn w:val="Standardnpsmoodstavce"/>
    <w:link w:val="Odstavecseseznamem"/>
    <w:uiPriority w:val="34"/>
    <w:rsid w:val="001B4719"/>
    <w:rPr>
      <w:color w:val="000000" w:themeColor="text1"/>
    </w:rPr>
  </w:style>
  <w:style w:type="paragraph" w:styleId="Textbubliny">
    <w:name w:val="Balloon Text"/>
    <w:basedOn w:val="Normln"/>
    <w:link w:val="TextbublinyChar"/>
    <w:uiPriority w:val="99"/>
    <w:semiHidden/>
    <w:unhideWhenUsed/>
    <w:rsid w:val="001B4719"/>
    <w:pPr>
      <w:spacing w:before="0"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B4719"/>
    <w:rPr>
      <w:rFonts w:ascii="Tahoma" w:eastAsia="Times New Roman" w:hAnsi="Tahoma" w:cs="Tahoma"/>
      <w:sz w:val="16"/>
      <w:szCs w:val="16"/>
      <w:lang w:eastAsia="cs-CZ"/>
    </w:rPr>
  </w:style>
  <w:style w:type="paragraph" w:customStyle="1" w:styleId="Bullet1">
    <w:name w:val="Bullet 1"/>
    <w:basedOn w:val="Normln"/>
    <w:link w:val="Bullet1Char"/>
    <w:qFormat/>
    <w:rsid w:val="001B4719"/>
    <w:pPr>
      <w:numPr>
        <w:numId w:val="10"/>
      </w:numPr>
    </w:pPr>
  </w:style>
  <w:style w:type="paragraph" w:customStyle="1" w:styleId="Odrka1">
    <w:name w:val="Odrážka 1"/>
    <w:basedOn w:val="Bullet1"/>
    <w:link w:val="Odrka1Char"/>
    <w:qFormat/>
    <w:rsid w:val="001B4719"/>
  </w:style>
  <w:style w:type="character" w:customStyle="1" w:styleId="Odrka1Char">
    <w:name w:val="Odrážka 1 Char"/>
    <w:basedOn w:val="Standardnpsmoodstavce"/>
    <w:link w:val="Odrka1"/>
    <w:rsid w:val="001B4719"/>
    <w:rPr>
      <w:rFonts w:ascii="Arial" w:eastAsia="Times New Roman" w:hAnsi="Arial" w:cs="Times New Roman"/>
      <w:szCs w:val="24"/>
      <w:lang w:eastAsia="cs-CZ"/>
    </w:rPr>
  </w:style>
  <w:style w:type="paragraph" w:styleId="Pedmtkomente">
    <w:name w:val="annotation subject"/>
    <w:basedOn w:val="Textkomente"/>
    <w:next w:val="Textkomente"/>
    <w:link w:val="PedmtkomenteChar"/>
    <w:uiPriority w:val="99"/>
    <w:semiHidden/>
    <w:unhideWhenUsed/>
    <w:rsid w:val="001B4719"/>
    <w:rPr>
      <w:b/>
      <w:bCs/>
    </w:rPr>
  </w:style>
  <w:style w:type="character" w:customStyle="1" w:styleId="PedmtkomenteChar">
    <w:name w:val="Předmět komentáře Char"/>
    <w:basedOn w:val="TextkomenteChar"/>
    <w:link w:val="Pedmtkomente"/>
    <w:uiPriority w:val="99"/>
    <w:semiHidden/>
    <w:rsid w:val="001B4719"/>
    <w:rPr>
      <w:rFonts w:ascii="Arial" w:eastAsia="Times New Roman" w:hAnsi="Arial" w:cs="Times New Roman"/>
      <w:b/>
      <w:bCs/>
      <w:sz w:val="20"/>
      <w:szCs w:val="20"/>
      <w:lang w:eastAsia="cs-CZ"/>
    </w:rPr>
  </w:style>
  <w:style w:type="paragraph" w:styleId="Textpoznpodarou">
    <w:name w:val="footnote text"/>
    <w:aliases w:val="Footnote Text Char3,Footnote Text Char1 Char1,Footnote Text Char2 Char Char,Footnote Text Char1 Char1 Char Char,Footnote Text Char2 Char Char Char Char,Footnote Text Char1 Char1 Char Char Char Char Char,-E Fußnotentext,Fußnotentextf"/>
    <w:basedOn w:val="Normln"/>
    <w:link w:val="TextpoznpodarouChar"/>
    <w:uiPriority w:val="99"/>
    <w:qFormat/>
    <w:rsid w:val="001B4719"/>
    <w:rPr>
      <w:sz w:val="16"/>
      <w:szCs w:val="20"/>
    </w:rPr>
  </w:style>
  <w:style w:type="character" w:customStyle="1" w:styleId="TextpoznpodarouChar">
    <w:name w:val="Text pozn. pod čarou Char"/>
    <w:aliases w:val="Footnote Text Char3 Char,Footnote Text Char1 Char1 Char,Footnote Text Char2 Char Char Char,Footnote Text Char1 Char1 Char Char Char,Footnote Text Char2 Char Char Char Char Char,-E Fußnotentext Char,Fußnotentextf Char"/>
    <w:basedOn w:val="Standardnpsmoodstavce"/>
    <w:link w:val="Textpoznpodarou"/>
    <w:uiPriority w:val="99"/>
    <w:qFormat/>
    <w:rsid w:val="001B4719"/>
    <w:rPr>
      <w:rFonts w:ascii="Arial" w:eastAsia="Times New Roman" w:hAnsi="Arial" w:cs="Times New Roman"/>
      <w:sz w:val="16"/>
      <w:szCs w:val="20"/>
      <w:lang w:eastAsia="cs-CZ"/>
    </w:rPr>
  </w:style>
  <w:style w:type="character" w:styleId="Znakapoznpodarou">
    <w:name w:val="footnote reference"/>
    <w:aliases w:val="EN Footnote Reference,BVI fnr,Footnote symbol,Footnote Reference Number,PGI Fußnote Ziffer,Footnote Reference Superscript,Appel note de bas de p,Appel note de bas de page,Légende,Char Car Car Car Car,Voetnootverwijzing,fr,SUPERS"/>
    <w:uiPriority w:val="99"/>
    <w:rsid w:val="001B4719"/>
    <w:rPr>
      <w:vertAlign w:val="superscript"/>
    </w:rPr>
  </w:style>
  <w:style w:type="paragraph" w:styleId="Titulek">
    <w:name w:val="caption"/>
    <w:aliases w:val="Schema"/>
    <w:basedOn w:val="Normln"/>
    <w:next w:val="Normln"/>
    <w:link w:val="TitulekChar"/>
    <w:uiPriority w:val="99"/>
    <w:qFormat/>
    <w:rsid w:val="001B4719"/>
    <w:pPr>
      <w:spacing w:before="240" w:after="240"/>
    </w:pPr>
    <w:rPr>
      <w:b/>
      <w:bCs/>
      <w:szCs w:val="20"/>
    </w:rPr>
  </w:style>
  <w:style w:type="character" w:customStyle="1" w:styleId="TitulekChar">
    <w:name w:val="Titulek Char"/>
    <w:aliases w:val="Schema Char"/>
    <w:link w:val="Titulek"/>
    <w:uiPriority w:val="99"/>
    <w:locked/>
    <w:rsid w:val="001B4719"/>
    <w:rPr>
      <w:rFonts w:ascii="Arial" w:eastAsia="Times New Roman" w:hAnsi="Arial" w:cs="Times New Roman"/>
      <w:b/>
      <w:bCs/>
      <w:szCs w:val="20"/>
      <w:lang w:eastAsia="cs-CZ"/>
    </w:rPr>
  </w:style>
  <w:style w:type="paragraph" w:customStyle="1" w:styleId="Odrkyabc">
    <w:name w:val="Odrážky abc"/>
    <w:basedOn w:val="Normln"/>
    <w:link w:val="OdrkyabcChar"/>
    <w:rsid w:val="001B4719"/>
    <w:pPr>
      <w:numPr>
        <w:numId w:val="11"/>
      </w:numPr>
    </w:pPr>
  </w:style>
  <w:style w:type="character" w:customStyle="1" w:styleId="OdrkyabcChar">
    <w:name w:val="Odrážky abc Char"/>
    <w:basedOn w:val="Standardnpsmoodstavce"/>
    <w:link w:val="Odrkyabc"/>
    <w:uiPriority w:val="99"/>
    <w:rsid w:val="001B4719"/>
    <w:rPr>
      <w:rFonts w:ascii="Arial" w:eastAsia="Times New Roman" w:hAnsi="Arial" w:cs="Times New Roman"/>
      <w:szCs w:val="24"/>
      <w:lang w:eastAsia="cs-CZ"/>
    </w:rPr>
  </w:style>
  <w:style w:type="table" w:styleId="Mkatabulky">
    <w:name w:val="Table Grid"/>
    <w:basedOn w:val="Normlntabulka"/>
    <w:uiPriority w:val="59"/>
    <w:rsid w:val="001B4719"/>
    <w:pPr>
      <w:spacing w:before="120" w:after="0" w:line="240" w:lineRule="auto"/>
      <w:ind w:left="714" w:hanging="357"/>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aa">
    <w:name w:val="odrážka a)"/>
    <w:basedOn w:val="Odrkyabc"/>
    <w:link w:val="odrkaaChar"/>
    <w:qFormat/>
    <w:rsid w:val="001B4719"/>
  </w:style>
  <w:style w:type="character" w:customStyle="1" w:styleId="odrkaaChar">
    <w:name w:val="odrážka a) Char"/>
    <w:basedOn w:val="OdrkyabcChar"/>
    <w:link w:val="odrkaa"/>
    <w:rsid w:val="001B4719"/>
    <w:rPr>
      <w:rFonts w:ascii="Arial" w:eastAsia="Times New Roman" w:hAnsi="Arial" w:cs="Times New Roman"/>
      <w:szCs w:val="24"/>
      <w:lang w:eastAsia="cs-CZ"/>
    </w:rPr>
  </w:style>
  <w:style w:type="character" w:styleId="slostrnky">
    <w:name w:val="page number"/>
    <w:basedOn w:val="Standardnpsmoodstavce"/>
    <w:semiHidden/>
    <w:rsid w:val="001B4719"/>
  </w:style>
  <w:style w:type="paragraph" w:styleId="Seznamobrzk">
    <w:name w:val="table of figures"/>
    <w:basedOn w:val="Normln"/>
    <w:next w:val="Normln"/>
    <w:uiPriority w:val="99"/>
    <w:rsid w:val="001B4719"/>
    <w:pPr>
      <w:ind w:left="440" w:hanging="440"/>
    </w:pPr>
  </w:style>
  <w:style w:type="paragraph" w:customStyle="1" w:styleId="Nadpisobsahuaseznamu">
    <w:name w:val="Nadpis obsahu a seznamu"/>
    <w:basedOn w:val="Obsah1"/>
    <w:rsid w:val="00DF768A"/>
    <w:pPr>
      <w:tabs>
        <w:tab w:val="clear" w:pos="440"/>
        <w:tab w:val="clear" w:pos="9628"/>
        <w:tab w:val="right" w:leader="dot" w:pos="9062"/>
      </w:tabs>
      <w:spacing w:before="240" w:after="240"/>
    </w:pPr>
    <w:rPr>
      <w:rFonts w:eastAsia="Times New Roman" w:cs="Arial"/>
      <w:bCs/>
      <w:caps/>
      <w:szCs w:val="22"/>
    </w:rPr>
  </w:style>
  <w:style w:type="paragraph" w:customStyle="1" w:styleId="Zkratky">
    <w:name w:val="Zkratky"/>
    <w:basedOn w:val="Normln"/>
    <w:uiPriority w:val="99"/>
    <w:rsid w:val="001B4719"/>
    <w:pPr>
      <w:tabs>
        <w:tab w:val="left" w:leader="dot" w:pos="2835"/>
      </w:tabs>
    </w:pPr>
  </w:style>
  <w:style w:type="paragraph" w:styleId="Rozloendokumentu">
    <w:name w:val="Document Map"/>
    <w:basedOn w:val="Normln"/>
    <w:link w:val="RozloendokumentuChar"/>
    <w:semiHidden/>
    <w:rsid w:val="001B4719"/>
    <w:pPr>
      <w:shd w:val="clear" w:color="auto" w:fill="000080"/>
    </w:pPr>
    <w:rPr>
      <w:rFonts w:ascii="Tahoma" w:hAnsi="Tahoma" w:cs="Tahoma"/>
    </w:rPr>
  </w:style>
  <w:style w:type="character" w:customStyle="1" w:styleId="RozloendokumentuChar">
    <w:name w:val="Rozložení dokumentu Char"/>
    <w:basedOn w:val="Standardnpsmoodstavce"/>
    <w:link w:val="Rozloendokumentu"/>
    <w:semiHidden/>
    <w:rsid w:val="001B4719"/>
    <w:rPr>
      <w:rFonts w:ascii="Tahoma" w:eastAsia="Times New Roman" w:hAnsi="Tahoma" w:cs="Tahoma"/>
      <w:szCs w:val="24"/>
      <w:shd w:val="clear" w:color="auto" w:fill="000080"/>
      <w:lang w:eastAsia="cs-CZ"/>
    </w:rPr>
  </w:style>
  <w:style w:type="paragraph" w:customStyle="1" w:styleId="Zhlavtabulky">
    <w:name w:val="Záhlaví tabulky"/>
    <w:basedOn w:val="Normln"/>
    <w:uiPriority w:val="99"/>
    <w:rsid w:val="001B4719"/>
    <w:pPr>
      <w:jc w:val="center"/>
    </w:pPr>
    <w:rPr>
      <w:b/>
    </w:rPr>
  </w:style>
  <w:style w:type="character" w:customStyle="1" w:styleId="Bullet1Char">
    <w:name w:val="Bullet 1 Char"/>
    <w:basedOn w:val="Standardnpsmoodstavce"/>
    <w:link w:val="Bullet1"/>
    <w:uiPriority w:val="99"/>
    <w:rsid w:val="001B4719"/>
    <w:rPr>
      <w:rFonts w:ascii="Arial" w:eastAsia="Times New Roman" w:hAnsi="Arial" w:cs="Times New Roman"/>
      <w:szCs w:val="24"/>
      <w:lang w:eastAsia="cs-CZ"/>
    </w:rPr>
  </w:style>
  <w:style w:type="paragraph" w:customStyle="1" w:styleId="Bullet2">
    <w:name w:val="Bullet 2"/>
    <w:basedOn w:val="Normln"/>
    <w:link w:val="Bullet2Char"/>
    <w:rsid w:val="001B4719"/>
    <w:pPr>
      <w:numPr>
        <w:numId w:val="14"/>
      </w:numPr>
      <w:tabs>
        <w:tab w:val="clear" w:pos="720"/>
        <w:tab w:val="left" w:pos="851"/>
      </w:tabs>
      <w:ind w:left="851" w:hanging="284"/>
    </w:pPr>
  </w:style>
  <w:style w:type="character" w:customStyle="1" w:styleId="Bullet2Char">
    <w:name w:val="Bullet 2 Char"/>
    <w:basedOn w:val="Standardnpsmoodstavce"/>
    <w:link w:val="Bullet2"/>
    <w:rsid w:val="001B4719"/>
    <w:rPr>
      <w:rFonts w:ascii="Arial" w:eastAsia="Times New Roman" w:hAnsi="Arial" w:cs="Times New Roman"/>
      <w:szCs w:val="24"/>
      <w:lang w:eastAsia="cs-CZ"/>
    </w:rPr>
  </w:style>
  <w:style w:type="character" w:styleId="Siln">
    <w:name w:val="Strong"/>
    <w:basedOn w:val="Standardnpsmoodstavce"/>
    <w:uiPriority w:val="22"/>
    <w:qFormat/>
    <w:rsid w:val="001B4719"/>
  </w:style>
  <w:style w:type="paragraph" w:styleId="Bezmezer">
    <w:name w:val="No Spacing"/>
    <w:basedOn w:val="Normln"/>
    <w:uiPriority w:val="1"/>
    <w:qFormat/>
    <w:rsid w:val="001B4719"/>
    <w:pPr>
      <w:spacing w:after="0"/>
    </w:pPr>
    <w:rPr>
      <w:rFonts w:asciiTheme="minorHAnsi" w:eastAsiaTheme="minorHAnsi" w:hAnsiTheme="minorHAnsi"/>
      <w:sz w:val="24"/>
      <w:szCs w:val="32"/>
      <w:lang w:eastAsia="en-US"/>
    </w:rPr>
  </w:style>
  <w:style w:type="character" w:styleId="Nzevknihy">
    <w:name w:val="Book Title"/>
    <w:basedOn w:val="Standardnpsmoodstavce"/>
    <w:uiPriority w:val="33"/>
    <w:qFormat/>
    <w:rsid w:val="001B4719"/>
    <w:rPr>
      <w:rFonts w:asciiTheme="majorHAnsi" w:eastAsiaTheme="majorEastAsia" w:hAnsiTheme="majorHAnsi"/>
      <w:b/>
      <w:i/>
      <w:sz w:val="24"/>
      <w:szCs w:val="24"/>
    </w:rPr>
  </w:style>
  <w:style w:type="table" w:customStyle="1" w:styleId="Mkatabulky1">
    <w:name w:val="Mřížka tabulky1"/>
    <w:basedOn w:val="Normlntabulka"/>
    <w:next w:val="Mkatabulky"/>
    <w:uiPriority w:val="99"/>
    <w:rsid w:val="001B47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0">
    <w:name w:val="Point 0"/>
    <w:basedOn w:val="Normln"/>
    <w:rsid w:val="001B4719"/>
    <w:pPr>
      <w:spacing w:line="360" w:lineRule="auto"/>
      <w:ind w:left="850" w:hanging="850"/>
    </w:pPr>
    <w:rPr>
      <w:rFonts w:ascii="Times New Roman" w:eastAsiaTheme="minorHAnsi" w:hAnsi="Times New Roman"/>
      <w:sz w:val="24"/>
      <w:lang w:eastAsia="en-US"/>
    </w:rPr>
  </w:style>
  <w:style w:type="table" w:customStyle="1" w:styleId="Mkatabulky2">
    <w:name w:val="Mřížka tabulky2"/>
    <w:basedOn w:val="Normlntabulka"/>
    <w:next w:val="Mkatabulky"/>
    <w:uiPriority w:val="39"/>
    <w:rsid w:val="001B4719"/>
    <w:pPr>
      <w:spacing w:before="120" w:after="0" w:line="240" w:lineRule="auto"/>
      <w:ind w:left="714" w:hanging="357"/>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1B4719"/>
    <w:pPr>
      <w:spacing w:before="120" w:after="0" w:line="240" w:lineRule="auto"/>
      <w:ind w:left="714" w:hanging="357"/>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a2">
    <w:name w:val="Odrážka 2"/>
    <w:basedOn w:val="Bullet2"/>
    <w:link w:val="Odrka2Char"/>
    <w:qFormat/>
    <w:rsid w:val="001B4719"/>
  </w:style>
  <w:style w:type="character" w:customStyle="1" w:styleId="Odrka2Char">
    <w:name w:val="Odrážka 2 Char"/>
    <w:basedOn w:val="Bullet2Char"/>
    <w:link w:val="Odrka2"/>
    <w:rsid w:val="001B4719"/>
    <w:rPr>
      <w:rFonts w:ascii="Arial" w:eastAsia="Times New Roman" w:hAnsi="Arial" w:cs="Times New Roman"/>
      <w:szCs w:val="24"/>
      <w:lang w:eastAsia="cs-CZ"/>
    </w:rPr>
  </w:style>
  <w:style w:type="table" w:customStyle="1" w:styleId="Mkatabulky4">
    <w:name w:val="Mřížka tabulky4"/>
    <w:basedOn w:val="Normlntabulka"/>
    <w:next w:val="Mkatabulky"/>
    <w:uiPriority w:val="39"/>
    <w:rsid w:val="001B4719"/>
    <w:pPr>
      <w:spacing w:after="0" w:line="240" w:lineRule="auto"/>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et2vtabulce">
    <w:name w:val="Bulet2 vtabulce"/>
    <w:basedOn w:val="Bullet1"/>
    <w:uiPriority w:val="99"/>
    <w:qFormat/>
    <w:rsid w:val="001B4719"/>
    <w:pPr>
      <w:numPr>
        <w:numId w:val="0"/>
      </w:numPr>
      <w:tabs>
        <w:tab w:val="num" w:pos="709"/>
      </w:tabs>
      <w:spacing w:before="0" w:after="0" w:line="276" w:lineRule="auto"/>
      <w:ind w:left="709" w:hanging="284"/>
      <w:jc w:val="both"/>
    </w:pPr>
    <w:rPr>
      <w:sz w:val="20"/>
      <w:szCs w:val="20"/>
      <w:lang w:eastAsia="en-US"/>
    </w:rPr>
  </w:style>
  <w:style w:type="table" w:customStyle="1" w:styleId="Mkatabulky41">
    <w:name w:val="Mřížka tabulky41"/>
    <w:basedOn w:val="Normlntabulka"/>
    <w:next w:val="Mkatabulky"/>
    <w:uiPriority w:val="39"/>
    <w:rsid w:val="001B471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osttext">
    <w:name w:val="Plain Text"/>
    <w:basedOn w:val="Normln"/>
    <w:link w:val="ProsttextChar"/>
    <w:uiPriority w:val="99"/>
    <w:semiHidden/>
    <w:unhideWhenUsed/>
    <w:rsid w:val="001B4719"/>
    <w:pPr>
      <w:spacing w:before="0" w:after="0"/>
    </w:pPr>
    <w:rPr>
      <w:rFonts w:ascii="Calibri" w:eastAsiaTheme="minorHAnsi" w:hAnsi="Calibri" w:cstheme="minorBidi"/>
      <w:szCs w:val="21"/>
      <w:lang w:eastAsia="en-US"/>
    </w:rPr>
  </w:style>
  <w:style w:type="character" w:customStyle="1" w:styleId="ProsttextChar">
    <w:name w:val="Prostý text Char"/>
    <w:basedOn w:val="Standardnpsmoodstavce"/>
    <w:link w:val="Prosttext"/>
    <w:uiPriority w:val="99"/>
    <w:semiHidden/>
    <w:rsid w:val="001B4719"/>
    <w:rPr>
      <w:rFonts w:ascii="Calibri" w:hAnsi="Calibri"/>
      <w:szCs w:val="21"/>
    </w:rPr>
  </w:style>
  <w:style w:type="paragraph" w:customStyle="1" w:styleId="offset5">
    <w:name w:val="offset5"/>
    <w:basedOn w:val="Normln"/>
    <w:rsid w:val="001B4719"/>
    <w:pPr>
      <w:spacing w:before="100" w:beforeAutospacing="1" w:after="100" w:afterAutospacing="1"/>
    </w:pPr>
    <w:rPr>
      <w:rFonts w:ascii="Times New Roman" w:hAnsi="Times New Roman"/>
      <w:sz w:val="24"/>
    </w:rPr>
  </w:style>
  <w:style w:type="character" w:styleId="PromnnHTML">
    <w:name w:val="HTML Variable"/>
    <w:basedOn w:val="Standardnpsmoodstavce"/>
    <w:uiPriority w:val="99"/>
    <w:semiHidden/>
    <w:unhideWhenUsed/>
    <w:rsid w:val="001B4719"/>
    <w:rPr>
      <w:i/>
      <w:iCs/>
    </w:rPr>
  </w:style>
  <w:style w:type="paragraph" w:customStyle="1" w:styleId="TableText">
    <w:name w:val="Table Text"/>
    <w:basedOn w:val="Normln"/>
    <w:rsid w:val="001B4719"/>
    <w:pPr>
      <w:spacing w:before="20" w:after="20" w:line="276" w:lineRule="auto"/>
      <w:ind w:left="17" w:right="17"/>
    </w:pPr>
    <w:rPr>
      <w:rFonts w:eastAsia="MS Mincho"/>
      <w:sz w:val="20"/>
      <w:szCs w:val="20"/>
      <w:lang w:eastAsia="en-US"/>
    </w:rPr>
  </w:style>
  <w:style w:type="paragraph" w:customStyle="1" w:styleId="Default">
    <w:name w:val="Default"/>
    <w:rsid w:val="001B4719"/>
    <w:pPr>
      <w:autoSpaceDE w:val="0"/>
      <w:autoSpaceDN w:val="0"/>
      <w:adjustRightInd w:val="0"/>
      <w:spacing w:after="0" w:line="240" w:lineRule="auto"/>
    </w:pPr>
    <w:rPr>
      <w:rFonts w:ascii="Arial" w:hAnsi="Arial" w:cs="Arial"/>
      <w:color w:val="000000"/>
      <w:sz w:val="24"/>
      <w:szCs w:val="24"/>
    </w:rPr>
  </w:style>
  <w:style w:type="paragraph" w:styleId="Normlnweb">
    <w:name w:val="Normal (Web)"/>
    <w:basedOn w:val="Normln"/>
    <w:uiPriority w:val="99"/>
    <w:unhideWhenUsed/>
    <w:rsid w:val="001B4719"/>
    <w:pPr>
      <w:spacing w:before="100" w:beforeAutospacing="1" w:after="100" w:afterAutospacing="1"/>
    </w:pPr>
    <w:rPr>
      <w:rFonts w:ascii="Times New Roman" w:hAnsi="Times New Roman"/>
      <w:sz w:val="24"/>
    </w:rPr>
  </w:style>
  <w:style w:type="character" w:customStyle="1" w:styleId="apple-style-span">
    <w:name w:val="apple-style-span"/>
    <w:basedOn w:val="Standardnpsmoodstavce"/>
    <w:rsid w:val="001B4719"/>
  </w:style>
  <w:style w:type="paragraph" w:customStyle="1" w:styleId="OdstavecZprava">
    <w:name w:val="Odstavec Zprava"/>
    <w:basedOn w:val="Normln"/>
    <w:rsid w:val="001B4719"/>
    <w:pPr>
      <w:spacing w:before="80" w:after="160"/>
      <w:ind w:left="3073" w:hanging="3073"/>
    </w:pPr>
    <w:rPr>
      <w:rFonts w:ascii="Times New Roman" w:hAnsi="Times New Roman"/>
      <w:bCs/>
      <w:sz w:val="24"/>
    </w:rPr>
  </w:style>
  <w:style w:type="paragraph" w:customStyle="1" w:styleId="Normln1">
    <w:name w:val="Normální1"/>
    <w:rsid w:val="001B4719"/>
    <w:pPr>
      <w:spacing w:after="160" w:line="259" w:lineRule="auto"/>
    </w:pPr>
    <w:rPr>
      <w:rFonts w:ascii="Calibri" w:eastAsia="Calibri" w:hAnsi="Calibri" w:cs="Calibri"/>
      <w:lang w:eastAsia="cs-CZ"/>
    </w:rPr>
  </w:style>
  <w:style w:type="paragraph" w:customStyle="1" w:styleId="Normln10">
    <w:name w:val="Normální 10"/>
    <w:link w:val="Normln10Char"/>
    <w:uiPriority w:val="99"/>
    <w:rsid w:val="001B4719"/>
    <w:pPr>
      <w:suppressAutoHyphens/>
      <w:spacing w:before="100" w:after="0"/>
      <w:jc w:val="both"/>
    </w:pPr>
    <w:rPr>
      <w:rFonts w:ascii="Arial" w:eastAsia="Times New Roman" w:hAnsi="Arial" w:cs="Times New Roman"/>
      <w:sz w:val="20"/>
      <w:szCs w:val="20"/>
      <w:lang w:eastAsia="cs-CZ"/>
    </w:rPr>
  </w:style>
  <w:style w:type="character" w:customStyle="1" w:styleId="Normln10Char">
    <w:name w:val="Normální 10 Char"/>
    <w:link w:val="Normln10"/>
    <w:uiPriority w:val="99"/>
    <w:locked/>
    <w:rsid w:val="001B4719"/>
    <w:rPr>
      <w:rFonts w:ascii="Arial" w:eastAsia="Times New Roman" w:hAnsi="Arial" w:cs="Times New Roman"/>
      <w:sz w:val="20"/>
      <w:szCs w:val="20"/>
      <w:lang w:eastAsia="cs-CZ"/>
    </w:rPr>
  </w:style>
  <w:style w:type="paragraph" w:customStyle="1" w:styleId="m-1634214079033462279gmail-msolistparagraph">
    <w:name w:val="m_-1634214079033462279gmail-msolistparagraph"/>
    <w:basedOn w:val="Normln"/>
    <w:rsid w:val="001B4719"/>
    <w:pPr>
      <w:spacing w:before="100" w:beforeAutospacing="1" w:after="100" w:afterAutospacing="1"/>
    </w:pPr>
    <w:rPr>
      <w:rFonts w:ascii="Times New Roman" w:hAnsi="Times New Roman"/>
      <w:sz w:val="24"/>
    </w:rPr>
  </w:style>
  <w:style w:type="paragraph" w:styleId="Revize">
    <w:name w:val="Revision"/>
    <w:hidden/>
    <w:uiPriority w:val="99"/>
    <w:semiHidden/>
    <w:rsid w:val="001B4719"/>
    <w:pPr>
      <w:spacing w:after="0" w:line="240" w:lineRule="auto"/>
    </w:pPr>
    <w:rPr>
      <w:rFonts w:ascii="Arial" w:eastAsia="Times New Roman" w:hAnsi="Arial" w:cs="Times New Roman"/>
      <w:szCs w:val="24"/>
      <w:lang w:eastAsia="cs-CZ"/>
    </w:rPr>
  </w:style>
  <w:style w:type="paragraph" w:customStyle="1" w:styleId="Bulettabulka2">
    <w:name w:val="Bulet tabulka 2"/>
    <w:basedOn w:val="Bulet2vtabulce"/>
    <w:uiPriority w:val="99"/>
    <w:qFormat/>
    <w:rsid w:val="001B4719"/>
  </w:style>
  <w:style w:type="paragraph" w:customStyle="1" w:styleId="Table-bulet">
    <w:name w:val="Table - bulet"/>
    <w:basedOn w:val="Odstavecseseznamem"/>
    <w:uiPriority w:val="99"/>
    <w:qFormat/>
    <w:rsid w:val="001B4719"/>
    <w:pPr>
      <w:numPr>
        <w:numId w:val="32"/>
      </w:numPr>
      <w:tabs>
        <w:tab w:val="num" w:pos="360"/>
      </w:tabs>
      <w:spacing w:after="60" w:line="276" w:lineRule="auto"/>
      <w:ind w:left="426" w:hanging="284"/>
    </w:pPr>
    <w:rPr>
      <w:rFonts w:cs="Arial"/>
      <w:sz w:val="20"/>
    </w:rPr>
  </w:style>
  <w:style w:type="character" w:customStyle="1" w:styleId="st1">
    <w:name w:val="st1"/>
    <w:basedOn w:val="Standardnpsmoodstavce"/>
    <w:rsid w:val="001B47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4.png"/><Relationship Id="rId26" Type="http://schemas.openxmlformats.org/officeDocument/2006/relationships/chart" Target="charts/chart3.xml"/><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chart" Target="charts/chart11.xml"/><Relationship Id="rId42" Type="http://schemas.openxmlformats.org/officeDocument/2006/relationships/image" Target="media/image16.emf"/><Relationship Id="rId47" Type="http://schemas.openxmlformats.org/officeDocument/2006/relationships/chart" Target="charts/chart15.xml"/><Relationship Id="rId50" Type="http://schemas.openxmlformats.org/officeDocument/2006/relationships/image" Target="media/image20.emf"/><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image" Target="media/image3.png"/><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image" Target="media/image12.png"/><Relationship Id="rId46" Type="http://schemas.openxmlformats.org/officeDocument/2006/relationships/chart" Target="charts/chart14.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6.jpeg"/><Relationship Id="rId29" Type="http://schemas.openxmlformats.org/officeDocument/2006/relationships/chart" Target="charts/chart6.xml"/><Relationship Id="rId41" Type="http://schemas.openxmlformats.org/officeDocument/2006/relationships/image" Target="media/image15.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jpeg"/><Relationship Id="rId32" Type="http://schemas.openxmlformats.org/officeDocument/2006/relationships/chart" Target="charts/chart9.xml"/><Relationship Id="rId37" Type="http://schemas.openxmlformats.org/officeDocument/2006/relationships/image" Target="media/image11.jpeg"/><Relationship Id="rId40" Type="http://schemas.openxmlformats.org/officeDocument/2006/relationships/image" Target="media/image14.emf"/><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9.png"/><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chart" Target="charts/chart17.xml"/><Relationship Id="rId10" Type="http://schemas.openxmlformats.org/officeDocument/2006/relationships/chart" Target="charts/chart1.xml"/><Relationship Id="rId19" Type="http://schemas.openxmlformats.org/officeDocument/2006/relationships/image" Target="media/image5.png"/><Relationship Id="rId31" Type="http://schemas.openxmlformats.org/officeDocument/2006/relationships/chart" Target="charts/chart8.xml"/><Relationship Id="rId44" Type="http://schemas.openxmlformats.org/officeDocument/2006/relationships/image" Target="media/image18.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diagramQuickStyle" Target="diagrams/quickStyle1.xml"/><Relationship Id="rId22" Type="http://schemas.openxmlformats.org/officeDocument/2006/relationships/image" Target="media/image8.jpe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image" Target="media/image17.emf"/><Relationship Id="rId48" Type="http://schemas.openxmlformats.org/officeDocument/2006/relationships/chart" Target="charts/chart16.xml"/><Relationship Id="rId8" Type="http://schemas.openxmlformats.org/officeDocument/2006/relationships/hyperlink" Target="https://cs.wikipedia.org/wiki/R%C3%A1mcov%C3%A1_%C3%BAmluva_OSN_o_zm%C4%9Bn%C4%9B_klimatu" TargetMode="External"/><Relationship Id="rId51" Type="http://schemas.openxmlformats.org/officeDocument/2006/relationships/image" Target="media/image21.emf"/></Relationships>
</file>

<file path=word/charts/_rels/chart1.xml.rels><?xml version="1.0" encoding="UTF-8" standalone="yes"?>
<Relationships xmlns="http://schemas.openxmlformats.org/package/2006/relationships"><Relationship Id="rId2" Type="http://schemas.openxmlformats.org/officeDocument/2006/relationships/oleObject" Target="file:///D:\Jandova\Studie%20M&#381;P\Studie_M&#381;P_2018\data_2018.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E:\novak\dokumenty\Projekty\NAP%20&#268;ist&#225;%20mobilita\Aktualizace%202018\Verze%202019\&#268;PS_aktual.verze%202019%20-%20varianty%20V-PA_V-BAU_V-BP%2031.5..2019%20-%20No.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G:\NGV\NAP%20&#268;M%202019\&#268;PS2222222222%20-%20varianta%20Vopt_Vreal_BAU%20-%2027.5.2019%20-%20No.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E:\novak\dokumenty\Projekty\NAP%20&#268;ist&#225;%20mobilita\Aktualizace%202018\Verze%202019\&#268;PS_aktual.verze%202019%20-%20varianty%20V-PA_V-BAU_V-BP%2031.5..2019%20-%20No.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E:\novak\dokumenty\Projekty\NAP%20&#268;ist&#225;%20mobilita\Aktualizace%202018\Verze%202019\&#268;PS_aktual.verze%202019%20-%20varianty%20V-PA_V-BAU_V-BP%2031.5..2019%20-%20No.xls" TargetMode="External"/></Relationships>
</file>

<file path=word/charts/_rels/chart14.xml.rels><?xml version="1.0" encoding="UTF-8" standalone="yes"?>
<Relationships xmlns="http://schemas.openxmlformats.org/package/2006/relationships"><Relationship Id="rId2" Type="http://schemas.openxmlformats.org/officeDocument/2006/relationships/package" Target="../embeddings/List_aplikace_Microsoft_Excel1.xlsx"/><Relationship Id="rId1" Type="http://schemas.openxmlformats.org/officeDocument/2006/relationships/themeOverride" Target="../theme/themeOverride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List_aplikace_Microsoft_Excel2.xlsx"/><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List_aplikace_Microsoft_Excel3.xlsx"/><Relationship Id="rId1" Type="http://schemas.openxmlformats.org/officeDocument/2006/relationships/themeOverride" Target="../theme/themeOverride4.xm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Users\indracek\Documents\data%20Office%20Projects\ALPG%20-%20autoplyn%20-%20NAPC&#780;M\texty%20LPG,%20efuels,%20ammonia\graf%20spotreba%20LPG%20a%20emise%202020%20-%20203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NGV\NAP%20&#268;M%202019\&#268;PS2222222222%20-%20varianta%20Vopt_Vreal_BAU%20-%2027.5.2019%20-%20No.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G:\NGV\NAP%20&#268;M%202019\&#268;PS2222222222%20-%20varianta%20Vopt_Vreal_BAU%20-%2027.5.2019%20-%20No.xls"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E:\novak\dokumenty\Projekty\NAP%20&#268;ist&#225;%20mobilita\Aktualizace%202018\Verze%202019\&#268;PS_aktual.verze%202019%20-%20varianty%20V-PA_V-BAU_V-BP%2031.5..2019%20-%20No.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NGV\NAP%20&#268;M%202019\&#268;PS_aktual.verze%202019%20-%20varianty%20V-PA_V-BAU_V-BP%2031.5..2019%20-%20No.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G:\NGV\NAP%20&#268;M%202019\&#268;PS_aktual.verze%202019%20-%20varianty%20V-PA_V-BAU_V-BP%2031.5..2019%20-%20No.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G:\NGV\NAP%20&#268;M%202019\&#268;PS2222222222%20-%20varianta%20Vopt_Vreal_BAU%20-%2027.5.2019%20-%20No.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G:\NGV\NAP%20&#268;M%202019\&#268;PS2222222222%20-%20varianta%20Vopt_Vreal_BAU%20-%2027.5.2019%20-%20No.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E:\novak\dokumenty\Projekty\NAP%20&#268;ist&#225;%20mobilita\Aktualizace%202018\Verze%202019\&#268;PS_aktual.verze%202019%20-%20varianty%20V-PA_V-BAU_V-BP%2031.5..2019%20-%20No.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0" i="0" u="none" strike="noStrike" baseline="0">
                <a:solidFill>
                  <a:srgbClr val="000000"/>
                </a:solidFill>
                <a:latin typeface="Arial"/>
                <a:ea typeface="Arial"/>
                <a:cs typeface="Arial"/>
              </a:defRPr>
            </a:pPr>
            <a:r>
              <a:rPr lang="cs-CZ" sz="900" b="0" i="0" u="none" strike="noStrike" baseline="0">
                <a:solidFill>
                  <a:srgbClr val="000000"/>
                </a:solidFill>
                <a:latin typeface="Arial"/>
                <a:cs typeface="Arial"/>
              </a:rPr>
              <a:t>Produkce CO</a:t>
            </a:r>
            <a:r>
              <a:rPr lang="cs-CZ" sz="900" b="0" i="0" u="none" strike="noStrike" baseline="-25000">
                <a:solidFill>
                  <a:srgbClr val="000000"/>
                </a:solidFill>
                <a:latin typeface="Arial"/>
                <a:cs typeface="Arial"/>
              </a:rPr>
              <a:t>2</a:t>
            </a:r>
            <a:r>
              <a:rPr lang="cs-CZ" sz="900" b="0" i="0" u="none" strike="noStrike" baseline="0">
                <a:solidFill>
                  <a:srgbClr val="000000"/>
                </a:solidFill>
                <a:latin typeface="Arial"/>
                <a:cs typeface="Arial"/>
              </a:rPr>
              <a:t> jednotlivými druhy dopravy </a:t>
            </a:r>
          </a:p>
          <a:p>
            <a:pPr>
              <a:defRPr sz="900" b="0" i="0" u="none" strike="noStrike" baseline="0">
                <a:solidFill>
                  <a:srgbClr val="000000"/>
                </a:solidFill>
                <a:latin typeface="Arial"/>
                <a:ea typeface="Arial"/>
                <a:cs typeface="Arial"/>
              </a:defRPr>
            </a:pPr>
            <a:r>
              <a:rPr lang="cs-CZ" sz="900" b="0" i="0" u="none" strike="noStrike" baseline="0">
                <a:solidFill>
                  <a:srgbClr val="000000"/>
                </a:solidFill>
                <a:latin typeface="Arial"/>
                <a:cs typeface="Arial"/>
              </a:rPr>
              <a:t> </a:t>
            </a:r>
            <a:r>
              <a:rPr lang="cs-CZ" sz="900" b="0" i="1" u="none" strike="noStrike" baseline="0">
                <a:solidFill>
                  <a:srgbClr val="000000"/>
                </a:solidFill>
                <a:latin typeface="Arial"/>
                <a:cs typeface="Arial"/>
              </a:rPr>
              <a:t> </a:t>
            </a:r>
          </a:p>
        </c:rich>
      </c:tx>
      <c:layout>
        <c:manualLayout>
          <c:xMode val="edge"/>
          <c:yMode val="edge"/>
          <c:x val="0.27205856999833783"/>
          <c:y val="3.1531531531531529E-2"/>
        </c:manualLayout>
      </c:layout>
      <c:overlay val="0"/>
      <c:spPr>
        <a:noFill/>
        <a:ln w="25400">
          <a:noFill/>
        </a:ln>
      </c:spPr>
    </c:title>
    <c:autoTitleDeleted val="0"/>
    <c:plotArea>
      <c:layout>
        <c:manualLayout>
          <c:layoutTarget val="inner"/>
          <c:xMode val="edge"/>
          <c:yMode val="edge"/>
          <c:x val="8.5440299344025292E-2"/>
          <c:y val="0.11855147684004289"/>
          <c:w val="0.67812761459425075"/>
          <c:h val="0.77338656611585521"/>
        </c:manualLayout>
      </c:layout>
      <c:lineChart>
        <c:grouping val="standard"/>
        <c:varyColors val="0"/>
        <c:ser>
          <c:idx val="0"/>
          <c:order val="0"/>
          <c:tx>
            <c:strRef>
              <c:f>'CO2'!$A$7</c:f>
              <c:strCache>
                <c:ptCount val="1"/>
                <c:pt idx="0">
                  <c:v>IAD</c:v>
                </c:pt>
              </c:strCache>
            </c:strRef>
          </c:tx>
          <c:spPr>
            <a:ln w="12700">
              <a:solidFill>
                <a:srgbClr val="FF6600"/>
              </a:solidFill>
              <a:prstDash val="solid"/>
            </a:ln>
          </c:spPr>
          <c:marker>
            <c:symbol val="diamond"/>
            <c:size val="3"/>
            <c:spPr>
              <a:solidFill>
                <a:srgbClr val="FF6600"/>
              </a:solidFill>
              <a:ln>
                <a:solidFill>
                  <a:srgbClr val="FF6600"/>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('CO2'!$E$7:$V$7,'CO2'!$W$7:$AC$7)</c:f>
              <c:numCache>
                <c:formatCode>#,##0</c:formatCode>
                <c:ptCount val="25"/>
                <c:pt idx="0">
                  <c:v>4656.7522370801998</c:v>
                </c:pt>
                <c:pt idx="1">
                  <c:v>5346.9173716799996</c:v>
                </c:pt>
                <c:pt idx="2">
                  <c:v>5640.5189747163204</c:v>
                </c:pt>
                <c:pt idx="3">
                  <c:v>6353.0370707411503</c:v>
                </c:pt>
                <c:pt idx="4">
                  <c:v>6445.1969452457497</c:v>
                </c:pt>
                <c:pt idx="5">
                  <c:v>6518.99561966895</c:v>
                </c:pt>
                <c:pt idx="6">
                  <c:v>7163.8930334459101</c:v>
                </c:pt>
                <c:pt idx="7">
                  <c:v>7134.0730475566897</c:v>
                </c:pt>
                <c:pt idx="8">
                  <c:v>7476.48483333267</c:v>
                </c:pt>
                <c:pt idx="9">
                  <c:v>7781.3725990397897</c:v>
                </c:pt>
                <c:pt idx="10">
                  <c:v>8757.0306292702408</c:v>
                </c:pt>
                <c:pt idx="11">
                  <c:v>9042.7163337573002</c:v>
                </c:pt>
                <c:pt idx="12">
                  <c:v>9485.0300575496694</c:v>
                </c:pt>
                <c:pt idx="13">
                  <c:v>9816.6104463245501</c:v>
                </c:pt>
                <c:pt idx="14">
                  <c:v>10463.332199066201</c:v>
                </c:pt>
                <c:pt idx="15">
                  <c:v>10599.915441900201</c:v>
                </c:pt>
                <c:pt idx="16">
                  <c:v>10600.0930086813</c:v>
                </c:pt>
                <c:pt idx="17">
                  <c:v>10076.4632360714</c:v>
                </c:pt>
                <c:pt idx="18">
                  <c:v>10102.445834968201</c:v>
                </c:pt>
                <c:pt idx="19">
                  <c:v>9930.7667985098997</c:v>
                </c:pt>
                <c:pt idx="20">
                  <c:v>9818.0285833971902</c:v>
                </c:pt>
                <c:pt idx="21">
                  <c:v>10212.4541625359</c:v>
                </c:pt>
                <c:pt idx="22">
                  <c:v>10661.8480908331</c:v>
                </c:pt>
                <c:pt idx="23">
                  <c:v>11141.185959160101</c:v>
                </c:pt>
                <c:pt idx="24">
                  <c:v>11330.8016086516</c:v>
                </c:pt>
              </c:numCache>
            </c:numRef>
          </c:val>
          <c:smooth val="0"/>
          <c:extLst xmlns:c16r2="http://schemas.microsoft.com/office/drawing/2015/06/chart">
            <c:ext xmlns:c16="http://schemas.microsoft.com/office/drawing/2014/chart" uri="{C3380CC4-5D6E-409C-BE32-E72D297353CC}">
              <c16:uniqueId val="{00000000-446D-43B8-B5B9-2110010A9245}"/>
            </c:ext>
          </c:extLst>
        </c:ser>
        <c:ser>
          <c:idx val="1"/>
          <c:order val="1"/>
          <c:tx>
            <c:strRef>
              <c:f>'CO2'!$A$8</c:f>
              <c:strCache>
                <c:ptCount val="1"/>
                <c:pt idx="0">
                  <c:v>Car transport</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'CO2'!$E$8:$T$8</c:f>
              <c:numCache>
                <c:formatCode>General</c:formatCode>
                <c:ptCount val="16"/>
              </c:numCache>
            </c:numRef>
          </c:val>
          <c:smooth val="0"/>
          <c:extLst xmlns:c16r2="http://schemas.microsoft.com/office/drawing/2015/06/chart">
            <c:ext xmlns:c16="http://schemas.microsoft.com/office/drawing/2014/chart" uri="{C3380CC4-5D6E-409C-BE32-E72D297353CC}">
              <c16:uniqueId val="{00000001-446D-43B8-B5B9-2110010A9245}"/>
            </c:ext>
          </c:extLst>
        </c:ser>
        <c:ser>
          <c:idx val="2"/>
          <c:order val="2"/>
          <c:tx>
            <c:strRef>
              <c:f>'CO2'!$A$9</c:f>
              <c:strCache>
                <c:ptCount val="1"/>
                <c:pt idx="0">
                  <c:v>Silniční veřejná </c:v>
                </c:pt>
              </c:strCache>
            </c:strRef>
          </c:tx>
          <c:spPr>
            <a:ln w="12700">
              <a:solidFill>
                <a:srgbClr val="FF00FF"/>
              </a:solidFill>
              <a:prstDash val="solid"/>
            </a:ln>
          </c:spPr>
          <c:marker>
            <c:symbol val="square"/>
            <c:size val="3"/>
            <c:spPr>
              <a:solidFill>
                <a:srgbClr val="FF00FF"/>
              </a:solidFill>
              <a:ln>
                <a:solidFill>
                  <a:srgbClr val="FF00FF"/>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('CO2'!$E$9:$V$9,'CO2'!$W$9:$AC$9)</c:f>
              <c:numCache>
                <c:formatCode>#,##0</c:formatCode>
                <c:ptCount val="25"/>
                <c:pt idx="0">
                  <c:v>707.515296172018</c:v>
                </c:pt>
                <c:pt idx="1">
                  <c:v>737.74933260403498</c:v>
                </c:pt>
                <c:pt idx="2">
                  <c:v>801.314441346546</c:v>
                </c:pt>
                <c:pt idx="3">
                  <c:v>862.44758504869299</c:v>
                </c:pt>
                <c:pt idx="4">
                  <c:v>882.44000102526502</c:v>
                </c:pt>
                <c:pt idx="5">
                  <c:v>927.39190892532497</c:v>
                </c:pt>
                <c:pt idx="6">
                  <c:v>1089.1827703451099</c:v>
                </c:pt>
                <c:pt idx="7">
                  <c:v>1154.1929127956901</c:v>
                </c:pt>
                <c:pt idx="8">
                  <c:v>1243.8428352057899</c:v>
                </c:pt>
                <c:pt idx="9">
                  <c:v>1342.2471210700601</c:v>
                </c:pt>
                <c:pt idx="10">
                  <c:v>1543.84268148312</c:v>
                </c:pt>
                <c:pt idx="11">
                  <c:v>1631.4014940795</c:v>
                </c:pt>
                <c:pt idx="12">
                  <c:v>1830.06424462107</c:v>
                </c:pt>
                <c:pt idx="13">
                  <c:v>1921.0911175030401</c:v>
                </c:pt>
                <c:pt idx="14">
                  <c:v>1992.0989615496601</c:v>
                </c:pt>
                <c:pt idx="15">
                  <c:v>1965.0461909358401</c:v>
                </c:pt>
                <c:pt idx="16">
                  <c:v>1896.5750100062</c:v>
                </c:pt>
                <c:pt idx="17">
                  <c:v>1804.6427192112301</c:v>
                </c:pt>
                <c:pt idx="18">
                  <c:v>1809.1782634271499</c:v>
                </c:pt>
                <c:pt idx="19">
                  <c:v>1779.8310501828</c:v>
                </c:pt>
                <c:pt idx="20">
                  <c:v>1783.9985920966501</c:v>
                </c:pt>
                <c:pt idx="21">
                  <c:v>1853.51903961678</c:v>
                </c:pt>
                <c:pt idx="22">
                  <c:v>1930.96879284076</c:v>
                </c:pt>
                <c:pt idx="23">
                  <c:v>1996.3913997462901</c:v>
                </c:pt>
                <c:pt idx="24">
                  <c:v>2075.2651171849002</c:v>
                </c:pt>
              </c:numCache>
            </c:numRef>
          </c:val>
          <c:smooth val="0"/>
          <c:extLst xmlns:c16r2="http://schemas.microsoft.com/office/drawing/2015/06/chart">
            <c:ext xmlns:c16="http://schemas.microsoft.com/office/drawing/2014/chart" uri="{C3380CC4-5D6E-409C-BE32-E72D297353CC}">
              <c16:uniqueId val="{00000002-446D-43B8-B5B9-2110010A9245}"/>
            </c:ext>
          </c:extLst>
        </c:ser>
        <c:ser>
          <c:idx val="3"/>
          <c:order val="3"/>
          <c:tx>
            <c:strRef>
              <c:f>'CO2'!$A$10</c:f>
              <c:strCache>
                <c:ptCount val="1"/>
                <c:pt idx="0">
                  <c:v>Public road</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'CO2'!$E$10:$U$10</c:f>
              <c:numCache>
                <c:formatCode>General</c:formatCode>
                <c:ptCount val="17"/>
              </c:numCache>
            </c:numRef>
          </c:val>
          <c:smooth val="0"/>
          <c:extLst xmlns:c16r2="http://schemas.microsoft.com/office/drawing/2015/06/chart">
            <c:ext xmlns:c16="http://schemas.microsoft.com/office/drawing/2014/chart" uri="{C3380CC4-5D6E-409C-BE32-E72D297353CC}">
              <c16:uniqueId val="{00000003-446D-43B8-B5B9-2110010A9245}"/>
            </c:ext>
          </c:extLst>
        </c:ser>
        <c:ser>
          <c:idx val="4"/>
          <c:order val="4"/>
          <c:tx>
            <c:strRef>
              <c:f>'CO2'!$A$11</c:f>
              <c:strCache>
                <c:ptCount val="1"/>
                <c:pt idx="0">
                  <c:v>Silniční nákladní</c:v>
                </c:pt>
              </c:strCache>
            </c:strRef>
          </c:tx>
          <c:spPr>
            <a:ln w="12700">
              <a:solidFill>
                <a:srgbClr val="003300"/>
              </a:solidFill>
              <a:prstDash val="solid"/>
            </a:ln>
          </c:spPr>
          <c:marker>
            <c:symbol val="triangle"/>
            <c:size val="3"/>
            <c:spPr>
              <a:solidFill>
                <a:srgbClr val="003300"/>
              </a:solidFill>
              <a:ln>
                <a:solidFill>
                  <a:srgbClr val="003300"/>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('CO2'!$E$11:$V$11,'CO2'!$W$11:$AC$11)</c:f>
              <c:numCache>
                <c:formatCode>#,##0</c:formatCode>
                <c:ptCount val="25"/>
                <c:pt idx="0">
                  <c:v>1950.5677143574501</c:v>
                </c:pt>
                <c:pt idx="1">
                  <c:v>2022.96223525509</c:v>
                </c:pt>
                <c:pt idx="2">
                  <c:v>2189.2275893331998</c:v>
                </c:pt>
                <c:pt idx="3">
                  <c:v>2353.65683254431</c:v>
                </c:pt>
                <c:pt idx="4">
                  <c:v>2400.4834398637399</c:v>
                </c:pt>
                <c:pt idx="5">
                  <c:v>2522.5201370361801</c:v>
                </c:pt>
                <c:pt idx="6">
                  <c:v>2963.54862655744</c:v>
                </c:pt>
                <c:pt idx="7">
                  <c:v>3131.9379525853501</c:v>
                </c:pt>
                <c:pt idx="8">
                  <c:v>3390.44077792295</c:v>
                </c:pt>
                <c:pt idx="9">
                  <c:v>3628.9255475792702</c:v>
                </c:pt>
                <c:pt idx="10">
                  <c:v>4191.13010838638</c:v>
                </c:pt>
                <c:pt idx="11">
                  <c:v>4467.4575929427001</c:v>
                </c:pt>
                <c:pt idx="12">
                  <c:v>5036.4039882351399</c:v>
                </c:pt>
                <c:pt idx="13">
                  <c:v>5279.4178266771696</c:v>
                </c:pt>
                <c:pt idx="14">
                  <c:v>5464.7719730011604</c:v>
                </c:pt>
                <c:pt idx="15">
                  <c:v>5407.8516109315897</c:v>
                </c:pt>
                <c:pt idx="16">
                  <c:v>5217.0658615192096</c:v>
                </c:pt>
                <c:pt idx="17">
                  <c:v>4963.4481318501603</c:v>
                </c:pt>
                <c:pt idx="18">
                  <c:v>4975.0879430945097</c:v>
                </c:pt>
                <c:pt idx="19">
                  <c:v>4892.5590743165503</c:v>
                </c:pt>
                <c:pt idx="20">
                  <c:v>4898.9839542831896</c:v>
                </c:pt>
                <c:pt idx="21">
                  <c:v>5079.3109108379804</c:v>
                </c:pt>
                <c:pt idx="22">
                  <c:v>5271.6691069020198</c:v>
                </c:pt>
                <c:pt idx="23">
                  <c:v>5432.6310008009204</c:v>
                </c:pt>
                <c:pt idx="24">
                  <c:v>5640.8046117285003</c:v>
                </c:pt>
              </c:numCache>
            </c:numRef>
          </c:val>
          <c:smooth val="0"/>
          <c:extLst xmlns:c16r2="http://schemas.microsoft.com/office/drawing/2015/06/chart">
            <c:ext xmlns:c16="http://schemas.microsoft.com/office/drawing/2014/chart" uri="{C3380CC4-5D6E-409C-BE32-E72D297353CC}">
              <c16:uniqueId val="{00000004-446D-43B8-B5B9-2110010A9245}"/>
            </c:ext>
          </c:extLst>
        </c:ser>
        <c:ser>
          <c:idx val="5"/>
          <c:order val="5"/>
          <c:tx>
            <c:strRef>
              <c:f>'CO2'!$A$12</c:f>
              <c:strCache>
                <c:ptCount val="1"/>
                <c:pt idx="0">
                  <c:v>Road freight</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'CO2'!$E$12:$T$12</c:f>
              <c:numCache>
                <c:formatCode>General</c:formatCode>
                <c:ptCount val="16"/>
              </c:numCache>
            </c:numRef>
          </c:val>
          <c:smooth val="0"/>
          <c:extLst xmlns:c16r2="http://schemas.microsoft.com/office/drawing/2015/06/chart">
            <c:ext xmlns:c16="http://schemas.microsoft.com/office/drawing/2014/chart" uri="{C3380CC4-5D6E-409C-BE32-E72D297353CC}">
              <c16:uniqueId val="{00000005-446D-43B8-B5B9-2110010A9245}"/>
            </c:ext>
          </c:extLst>
        </c:ser>
        <c:ser>
          <c:idx val="7"/>
          <c:order val="6"/>
          <c:tx>
            <c:strRef>
              <c:f>'CO2'!$A$13</c:f>
              <c:strCache>
                <c:ptCount val="1"/>
                <c:pt idx="0">
                  <c:v>MHD autobusy</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'CO2'!$E$13:$U$13</c:f>
              <c:numCache>
                <c:formatCode>#,##0</c:formatCode>
                <c:ptCount val="17"/>
                <c:pt idx="0">
                  <c:v>406</c:v>
                </c:pt>
                <c:pt idx="1">
                  <c:v>355</c:v>
                </c:pt>
                <c:pt idx="2">
                  <c:v>441</c:v>
                </c:pt>
                <c:pt idx="3">
                  <c:v>539</c:v>
                </c:pt>
                <c:pt idx="4">
                  <c:v>544</c:v>
                </c:pt>
                <c:pt idx="5">
                  <c:v>576</c:v>
                </c:pt>
                <c:pt idx="6">
                  <c:v>584</c:v>
                </c:pt>
              </c:numCache>
            </c:numRef>
          </c:val>
          <c:smooth val="0"/>
          <c:extLst xmlns:c16r2="http://schemas.microsoft.com/office/drawing/2015/06/chart">
            <c:ext xmlns:c16="http://schemas.microsoft.com/office/drawing/2014/chart" uri="{C3380CC4-5D6E-409C-BE32-E72D297353CC}">
              <c16:uniqueId val="{00000006-446D-43B8-B5B9-2110010A9245}"/>
            </c:ext>
          </c:extLst>
        </c:ser>
        <c:ser>
          <c:idx val="8"/>
          <c:order val="7"/>
          <c:tx>
            <c:strRef>
              <c:f>'CO2'!$A$14</c:f>
              <c:strCache>
                <c:ptCount val="1"/>
                <c:pt idx="0">
                  <c:v>Urban buses</c:v>
                </c:pt>
              </c:strCache>
            </c:strRef>
          </c:tx>
          <c:spPr>
            <a:ln w="12700">
              <a:solidFill>
                <a:srgbClr val="FFFF00"/>
              </a:solidFill>
              <a:prstDash val="solid"/>
            </a:ln>
          </c:spPr>
          <c:marker>
            <c:symbol val="triangle"/>
            <c:size val="3"/>
            <c:spPr>
              <a:solidFill>
                <a:srgbClr val="FFFF00"/>
              </a:solidFill>
              <a:ln>
                <a:solidFill>
                  <a:srgbClr val="FFFF00"/>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'CO2'!$E$14:$T$14</c:f>
              <c:numCache>
                <c:formatCode>General</c:formatCode>
                <c:ptCount val="16"/>
              </c:numCache>
            </c:numRef>
          </c:val>
          <c:smooth val="0"/>
          <c:extLst xmlns:c16r2="http://schemas.microsoft.com/office/drawing/2015/06/chart">
            <c:ext xmlns:c16="http://schemas.microsoft.com/office/drawing/2014/chart" uri="{C3380CC4-5D6E-409C-BE32-E72D297353CC}">
              <c16:uniqueId val="{00000007-446D-43B8-B5B9-2110010A9245}"/>
            </c:ext>
          </c:extLst>
        </c:ser>
        <c:ser>
          <c:idx val="9"/>
          <c:order val="8"/>
          <c:tx>
            <c:strRef>
              <c:f>'CO2'!$A$15</c:f>
              <c:strCache>
                <c:ptCount val="1"/>
                <c:pt idx="0">
                  <c:v>Železniční motor.trakce</c:v>
                </c:pt>
              </c:strCache>
            </c:strRef>
          </c:tx>
          <c:spPr>
            <a:ln w="3175">
              <a:solidFill>
                <a:srgbClr val="0000FF"/>
              </a:solidFill>
              <a:prstDash val="solid"/>
            </a:ln>
          </c:spPr>
          <c:marker>
            <c:symbol val="x"/>
            <c:size val="3"/>
            <c:spPr>
              <a:solidFill>
                <a:srgbClr val="FFFFFF"/>
              </a:solidFill>
              <a:ln>
                <a:solidFill>
                  <a:srgbClr val="0000FF"/>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('CO2'!$E$15:$V$15,'CO2'!$W$15:$AC$15)</c:f>
              <c:numCache>
                <c:formatCode>#,##0</c:formatCode>
                <c:ptCount val="25"/>
                <c:pt idx="0">
                  <c:v>415.25639999999999</c:v>
                </c:pt>
                <c:pt idx="1">
                  <c:v>334.7097</c:v>
                </c:pt>
                <c:pt idx="2">
                  <c:v>333.89460000000003</c:v>
                </c:pt>
                <c:pt idx="3">
                  <c:v>329.22629999999998</c:v>
                </c:pt>
                <c:pt idx="4">
                  <c:v>283.06200000000001</c:v>
                </c:pt>
                <c:pt idx="5">
                  <c:v>356.32578150000001</c:v>
                </c:pt>
                <c:pt idx="6">
                  <c:v>332.11842300000001</c:v>
                </c:pt>
                <c:pt idx="7">
                  <c:v>328.99392239999997</c:v>
                </c:pt>
                <c:pt idx="8">
                  <c:v>301.30838399999999</c:v>
                </c:pt>
                <c:pt idx="9">
                  <c:v>292.12887599999999</c:v>
                </c:pt>
                <c:pt idx="10">
                  <c:v>285.83837879999999</c:v>
                </c:pt>
                <c:pt idx="11">
                  <c:v>282.35382629999998</c:v>
                </c:pt>
                <c:pt idx="12">
                  <c:v>285.1566588</c:v>
                </c:pt>
                <c:pt idx="13">
                  <c:v>304.3126944</c:v>
                </c:pt>
                <c:pt idx="14">
                  <c:v>300.93158549999998</c:v>
                </c:pt>
                <c:pt idx="15">
                  <c:v>333.55003499999998</c:v>
                </c:pt>
                <c:pt idx="16">
                  <c:v>302.52955200000002</c:v>
                </c:pt>
                <c:pt idx="17">
                  <c:v>293.39183639999999</c:v>
                </c:pt>
                <c:pt idx="18">
                  <c:v>286.666965</c:v>
                </c:pt>
                <c:pt idx="19">
                  <c:v>276.93733859999998</c:v>
                </c:pt>
                <c:pt idx="20">
                  <c:v>270.59615700000001</c:v>
                </c:pt>
                <c:pt idx="21">
                  <c:v>273.96444659999997</c:v>
                </c:pt>
                <c:pt idx="22">
                  <c:v>264.11233290000001</c:v>
                </c:pt>
                <c:pt idx="23">
                  <c:v>270.56466449999999</c:v>
                </c:pt>
                <c:pt idx="24">
                  <c:v>270.56466449999999</c:v>
                </c:pt>
              </c:numCache>
            </c:numRef>
          </c:val>
          <c:smooth val="0"/>
          <c:extLst xmlns:c16r2="http://schemas.microsoft.com/office/drawing/2015/06/chart">
            <c:ext xmlns:c16="http://schemas.microsoft.com/office/drawing/2014/chart" uri="{C3380CC4-5D6E-409C-BE32-E72D297353CC}">
              <c16:uniqueId val="{00000008-446D-43B8-B5B9-2110010A9245}"/>
            </c:ext>
          </c:extLst>
        </c:ser>
        <c:ser>
          <c:idx val="10"/>
          <c:order val="9"/>
          <c:tx>
            <c:strRef>
              <c:f>'CO2'!$A$16</c:f>
              <c:strCache>
                <c:ptCount val="1"/>
                <c:pt idx="0">
                  <c:v>Railway motor traction</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'CO2'!$E$15:$V$15</c:f>
              <c:numCache>
                <c:formatCode>#,##0</c:formatCode>
                <c:ptCount val="18"/>
                <c:pt idx="0">
                  <c:v>415.25639999999999</c:v>
                </c:pt>
                <c:pt idx="1">
                  <c:v>334.7097</c:v>
                </c:pt>
                <c:pt idx="2">
                  <c:v>333.89460000000003</c:v>
                </c:pt>
                <c:pt idx="3">
                  <c:v>329.22629999999998</c:v>
                </c:pt>
                <c:pt idx="4">
                  <c:v>283.06200000000001</c:v>
                </c:pt>
                <c:pt idx="5">
                  <c:v>356.32578150000001</c:v>
                </c:pt>
                <c:pt idx="6">
                  <c:v>332.11842300000001</c:v>
                </c:pt>
                <c:pt idx="7">
                  <c:v>328.99392239999997</c:v>
                </c:pt>
                <c:pt idx="8">
                  <c:v>301.30838399999999</c:v>
                </c:pt>
                <c:pt idx="9">
                  <c:v>292.12887599999999</c:v>
                </c:pt>
                <c:pt idx="10">
                  <c:v>285.83837879999999</c:v>
                </c:pt>
                <c:pt idx="11">
                  <c:v>282.35382629999998</c:v>
                </c:pt>
                <c:pt idx="12">
                  <c:v>285.1566588</c:v>
                </c:pt>
                <c:pt idx="13">
                  <c:v>304.3126944</c:v>
                </c:pt>
                <c:pt idx="14">
                  <c:v>300.93158549999998</c:v>
                </c:pt>
                <c:pt idx="15">
                  <c:v>333.55003499999998</c:v>
                </c:pt>
                <c:pt idx="16">
                  <c:v>302.52955200000002</c:v>
                </c:pt>
                <c:pt idx="17">
                  <c:v>293.39183639999999</c:v>
                </c:pt>
              </c:numCache>
            </c:numRef>
          </c:val>
          <c:smooth val="0"/>
          <c:extLst xmlns:c16r2="http://schemas.microsoft.com/office/drawing/2015/06/chart">
            <c:ext xmlns:c16="http://schemas.microsoft.com/office/drawing/2014/chart" uri="{C3380CC4-5D6E-409C-BE32-E72D297353CC}">
              <c16:uniqueId val="{00000009-446D-43B8-B5B9-2110010A9245}"/>
            </c:ext>
          </c:extLst>
        </c:ser>
        <c:ser>
          <c:idx val="11"/>
          <c:order val="10"/>
          <c:tx>
            <c:strRef>
              <c:f>'CO2'!$A$17</c:f>
              <c:strCache>
                <c:ptCount val="1"/>
                <c:pt idx="0">
                  <c:v>Vodní</c:v>
                </c:pt>
              </c:strCache>
            </c:strRef>
          </c:tx>
          <c:spPr>
            <a:ln w="3175">
              <a:solidFill>
                <a:srgbClr val="008000"/>
              </a:solidFill>
              <a:prstDash val="solid"/>
            </a:ln>
          </c:spPr>
          <c:marker>
            <c:symbol val="circle"/>
            <c:size val="3"/>
            <c:spPr>
              <a:solidFill>
                <a:srgbClr val="FFFFFF"/>
              </a:solidFill>
              <a:ln>
                <a:solidFill>
                  <a:srgbClr val="008000"/>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('CO2'!$E$17:$V$17,'CO2'!$W$17:$AC$17)</c:f>
              <c:numCache>
                <c:formatCode>#,##0</c:formatCode>
                <c:ptCount val="25"/>
                <c:pt idx="0">
                  <c:v>54.315300000000001</c:v>
                </c:pt>
                <c:pt idx="1">
                  <c:v>53.5002</c:v>
                </c:pt>
                <c:pt idx="2">
                  <c:v>55.204500000000003</c:v>
                </c:pt>
                <c:pt idx="3">
                  <c:v>45.942</c:v>
                </c:pt>
                <c:pt idx="4">
                  <c:v>38.531999999999996</c:v>
                </c:pt>
                <c:pt idx="5">
                  <c:v>37.839905999999999</c:v>
                </c:pt>
                <c:pt idx="6">
                  <c:v>22.1412282</c:v>
                </c:pt>
                <c:pt idx="7">
                  <c:v>15.8170155</c:v>
                </c:pt>
                <c:pt idx="8">
                  <c:v>24.850176000000001</c:v>
                </c:pt>
                <c:pt idx="9">
                  <c:v>12.431016</c:v>
                </c:pt>
                <c:pt idx="10">
                  <c:v>12.427755599999999</c:v>
                </c:pt>
                <c:pt idx="11">
                  <c:v>18.616735800000001</c:v>
                </c:pt>
                <c:pt idx="12">
                  <c:v>15.4976445</c:v>
                </c:pt>
                <c:pt idx="13">
                  <c:v>19.0195434</c:v>
                </c:pt>
                <c:pt idx="14">
                  <c:v>15.838504500000001</c:v>
                </c:pt>
                <c:pt idx="15">
                  <c:v>12.706668000000001</c:v>
                </c:pt>
                <c:pt idx="16">
                  <c:v>15.922608</c:v>
                </c:pt>
                <c:pt idx="17">
                  <c:v>12.756166800000001</c:v>
                </c:pt>
                <c:pt idx="18">
                  <c:v>9.5555655000000002</c:v>
                </c:pt>
                <c:pt idx="19">
                  <c:v>15.915939</c:v>
                </c:pt>
                <c:pt idx="20">
                  <c:v>6.3669684000000002</c:v>
                </c:pt>
                <c:pt idx="21">
                  <c:v>9.5568992999999995</c:v>
                </c:pt>
                <c:pt idx="22">
                  <c:v>9.5462288999999991</c:v>
                </c:pt>
                <c:pt idx="23">
                  <c:v>12.732454799999999</c:v>
                </c:pt>
                <c:pt idx="24">
                  <c:v>12.732454799999999</c:v>
                </c:pt>
              </c:numCache>
            </c:numRef>
          </c:val>
          <c:smooth val="0"/>
          <c:extLst xmlns:c16r2="http://schemas.microsoft.com/office/drawing/2015/06/chart">
            <c:ext xmlns:c16="http://schemas.microsoft.com/office/drawing/2014/chart" uri="{C3380CC4-5D6E-409C-BE32-E72D297353CC}">
              <c16:uniqueId val="{0000000A-446D-43B8-B5B9-2110010A9245}"/>
            </c:ext>
          </c:extLst>
        </c:ser>
        <c:ser>
          <c:idx val="12"/>
          <c:order val="11"/>
          <c:tx>
            <c:strRef>
              <c:f>'CO2'!$A$18</c:f>
              <c:strCache>
                <c:ptCount val="1"/>
                <c:pt idx="0">
                  <c:v>Inland waterway</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'CO2'!$E$17:$T$17</c:f>
              <c:numCache>
                <c:formatCode>#,##0</c:formatCode>
                <c:ptCount val="16"/>
                <c:pt idx="0">
                  <c:v>54.315300000000001</c:v>
                </c:pt>
                <c:pt idx="1">
                  <c:v>53.5002</c:v>
                </c:pt>
                <c:pt idx="2">
                  <c:v>55.204500000000003</c:v>
                </c:pt>
                <c:pt idx="3">
                  <c:v>45.942</c:v>
                </c:pt>
                <c:pt idx="4">
                  <c:v>38.531999999999996</c:v>
                </c:pt>
                <c:pt idx="5">
                  <c:v>37.839905999999999</c:v>
                </c:pt>
                <c:pt idx="6">
                  <c:v>22.1412282</c:v>
                </c:pt>
                <c:pt idx="7">
                  <c:v>15.8170155</c:v>
                </c:pt>
                <c:pt idx="8">
                  <c:v>24.850176000000001</c:v>
                </c:pt>
                <c:pt idx="9">
                  <c:v>12.431016</c:v>
                </c:pt>
                <c:pt idx="10">
                  <c:v>12.427755599999999</c:v>
                </c:pt>
                <c:pt idx="11">
                  <c:v>18.616735800000001</c:v>
                </c:pt>
                <c:pt idx="12">
                  <c:v>15.4976445</c:v>
                </c:pt>
                <c:pt idx="13">
                  <c:v>19.0195434</c:v>
                </c:pt>
                <c:pt idx="14">
                  <c:v>15.838504500000001</c:v>
                </c:pt>
                <c:pt idx="15">
                  <c:v>12.706668000000001</c:v>
                </c:pt>
              </c:numCache>
            </c:numRef>
          </c:val>
          <c:smooth val="0"/>
          <c:extLst xmlns:c16r2="http://schemas.microsoft.com/office/drawing/2015/06/chart">
            <c:ext xmlns:c16="http://schemas.microsoft.com/office/drawing/2014/chart" uri="{C3380CC4-5D6E-409C-BE32-E72D297353CC}">
              <c16:uniqueId val="{0000000B-446D-43B8-B5B9-2110010A9245}"/>
            </c:ext>
          </c:extLst>
        </c:ser>
        <c:ser>
          <c:idx val="13"/>
          <c:order val="12"/>
          <c:tx>
            <c:strRef>
              <c:f>'CO2'!$A$19</c:f>
              <c:strCache>
                <c:ptCount val="1"/>
                <c:pt idx="0">
                  <c:v>Letecká</c:v>
                </c:pt>
              </c:strCache>
            </c:strRef>
          </c:tx>
          <c:spPr>
            <a:ln w="3175">
              <a:solidFill>
                <a:srgbClr val="FFFF00"/>
              </a:solidFill>
              <a:prstDash val="solid"/>
            </a:ln>
          </c:spPr>
          <c:marker>
            <c:symbol val="triangle"/>
            <c:size val="3"/>
            <c:spPr>
              <a:solidFill>
                <a:srgbClr val="FFFF00"/>
              </a:solidFill>
              <a:ln>
                <a:solidFill>
                  <a:srgbClr val="FFFF00"/>
                </a:solidFill>
                <a:prstDash val="solid"/>
              </a:ln>
            </c:spPr>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('CO2'!$E$19:$V$19,'CO2'!$W$19:$AC$19)</c:f>
              <c:numCache>
                <c:formatCode>#,##0</c:formatCode>
                <c:ptCount val="25"/>
                <c:pt idx="0">
                  <c:v>437.81241399999999</c:v>
                </c:pt>
                <c:pt idx="1">
                  <c:v>537.27360699999997</c:v>
                </c:pt>
                <c:pt idx="2">
                  <c:v>571.41123000000005</c:v>
                </c:pt>
                <c:pt idx="3">
                  <c:v>434.61657200000002</c:v>
                </c:pt>
                <c:pt idx="4">
                  <c:v>493.21345200000002</c:v>
                </c:pt>
                <c:pt idx="5">
                  <c:v>581.06349999999998</c:v>
                </c:pt>
                <c:pt idx="6">
                  <c:v>550.30999999999995</c:v>
                </c:pt>
                <c:pt idx="7">
                  <c:v>593.40557488577497</c:v>
                </c:pt>
                <c:pt idx="8">
                  <c:v>633.33952610258598</c:v>
                </c:pt>
                <c:pt idx="9">
                  <c:v>550.70188313278402</c:v>
                </c:pt>
                <c:pt idx="10">
                  <c:v>737.37245492044406</c:v>
                </c:pt>
                <c:pt idx="11">
                  <c:v>945.67070570701196</c:v>
                </c:pt>
                <c:pt idx="12">
                  <c:v>979.166061131162</c:v>
                </c:pt>
                <c:pt idx="13">
                  <c:v>1015.28587680353</c:v>
                </c:pt>
                <c:pt idx="14">
                  <c:v>1064.80990565619</c:v>
                </c:pt>
                <c:pt idx="15">
                  <c:v>1126.8789678077801</c:v>
                </c:pt>
                <c:pt idx="16">
                  <c:v>1031.0026677199301</c:v>
                </c:pt>
                <c:pt idx="17">
                  <c:v>965.96520920368403</c:v>
                </c:pt>
                <c:pt idx="18">
                  <c:v>953.51404483222905</c:v>
                </c:pt>
                <c:pt idx="19">
                  <c:v>891.55923914669495</c:v>
                </c:pt>
                <c:pt idx="20">
                  <c:v>860.462890757374</c:v>
                </c:pt>
                <c:pt idx="21">
                  <c:v>888.47635000000002</c:v>
                </c:pt>
                <c:pt idx="22">
                  <c:v>897.73355000000004</c:v>
                </c:pt>
                <c:pt idx="23">
                  <c:v>965.84445000000005</c:v>
                </c:pt>
                <c:pt idx="24">
                  <c:v>1083.49055</c:v>
                </c:pt>
              </c:numCache>
            </c:numRef>
          </c:val>
          <c:smooth val="0"/>
          <c:extLst xmlns:c16r2="http://schemas.microsoft.com/office/drawing/2015/06/chart">
            <c:ext xmlns:c16="http://schemas.microsoft.com/office/drawing/2014/chart" uri="{C3380CC4-5D6E-409C-BE32-E72D297353CC}">
              <c16:uniqueId val="{0000000C-446D-43B8-B5B9-2110010A9245}"/>
            </c:ext>
          </c:extLst>
        </c:ser>
        <c:ser>
          <c:idx val="6"/>
          <c:order val="13"/>
          <c:tx>
            <c:strRef>
              <c:f>'CO2'!$A$20</c:f>
              <c:strCache>
                <c:ptCount val="1"/>
                <c:pt idx="0">
                  <c:v>Air</c:v>
                </c:pt>
              </c:strCache>
            </c:strRef>
          </c:tx>
          <c:spPr>
            <a:ln w="28575">
              <a:noFill/>
            </a:ln>
          </c:spPr>
          <c:marker>
            <c:symbol val="none"/>
          </c:marker>
          <c:cat>
            <c:numRef>
              <c:f>('CO2'!$E$6:$V$6,'CO2'!$W$6:$AC$6)</c:f>
              <c:numCache>
                <c:formatCode>General</c:formatCode>
                <c:ptCount val="25"/>
                <c:pt idx="0">
                  <c:v>1993</c:v>
                </c:pt>
                <c:pt idx="1">
                  <c:v>1994</c:v>
                </c:pt>
                <c:pt idx="2">
                  <c:v>1995</c:v>
                </c:pt>
                <c:pt idx="3">
                  <c:v>1996</c:v>
                </c:pt>
                <c:pt idx="4">
                  <c:v>1997</c:v>
                </c:pt>
                <c:pt idx="5">
                  <c:v>1998</c:v>
                </c:pt>
                <c:pt idx="6">
                  <c:v>1999</c:v>
                </c:pt>
                <c:pt idx="7">
                  <c:v>2000</c:v>
                </c:pt>
                <c:pt idx="8">
                  <c:v>2001</c:v>
                </c:pt>
                <c:pt idx="9">
                  <c:v>2002</c:v>
                </c:pt>
                <c:pt idx="10">
                  <c:v>2003</c:v>
                </c:pt>
                <c:pt idx="11">
                  <c:v>2004</c:v>
                </c:pt>
                <c:pt idx="12">
                  <c:v>2005</c:v>
                </c:pt>
                <c:pt idx="13">
                  <c:v>2006</c:v>
                </c:pt>
                <c:pt idx="14">
                  <c:v>2007</c:v>
                </c:pt>
                <c:pt idx="15">
                  <c:v>2008</c:v>
                </c:pt>
                <c:pt idx="16">
                  <c:v>2009</c:v>
                </c:pt>
                <c:pt idx="17">
                  <c:v>2010</c:v>
                </c:pt>
                <c:pt idx="18">
                  <c:v>2011</c:v>
                </c:pt>
                <c:pt idx="19">
                  <c:v>2012</c:v>
                </c:pt>
                <c:pt idx="20">
                  <c:v>2013</c:v>
                </c:pt>
                <c:pt idx="21">
                  <c:v>2014</c:v>
                </c:pt>
                <c:pt idx="22">
                  <c:v>2015</c:v>
                </c:pt>
                <c:pt idx="23">
                  <c:v>2016</c:v>
                </c:pt>
                <c:pt idx="24">
                  <c:v>2017</c:v>
                </c:pt>
              </c:numCache>
            </c:numRef>
          </c:cat>
          <c:val>
            <c:numRef>
              <c:f>'CO2'!$E$19:$T$19</c:f>
              <c:numCache>
                <c:formatCode>#,##0</c:formatCode>
                <c:ptCount val="16"/>
                <c:pt idx="0">
                  <c:v>437.81241399999999</c:v>
                </c:pt>
                <c:pt idx="1">
                  <c:v>537.27360699999997</c:v>
                </c:pt>
                <c:pt idx="2">
                  <c:v>571.41123000000005</c:v>
                </c:pt>
                <c:pt idx="3">
                  <c:v>434.61657200000002</c:v>
                </c:pt>
                <c:pt idx="4">
                  <c:v>493.21345200000002</c:v>
                </c:pt>
                <c:pt idx="5">
                  <c:v>581.06349999999998</c:v>
                </c:pt>
                <c:pt idx="6">
                  <c:v>550.30999999999995</c:v>
                </c:pt>
                <c:pt idx="7">
                  <c:v>593.40557488577497</c:v>
                </c:pt>
                <c:pt idx="8">
                  <c:v>633.33952610258598</c:v>
                </c:pt>
                <c:pt idx="9">
                  <c:v>550.70188313278402</c:v>
                </c:pt>
                <c:pt idx="10">
                  <c:v>737.37245492044406</c:v>
                </c:pt>
                <c:pt idx="11">
                  <c:v>945.67070570701196</c:v>
                </c:pt>
                <c:pt idx="12">
                  <c:v>979.166061131162</c:v>
                </c:pt>
                <c:pt idx="13">
                  <c:v>1015.28587680353</c:v>
                </c:pt>
                <c:pt idx="14">
                  <c:v>1064.80990565619</c:v>
                </c:pt>
                <c:pt idx="15">
                  <c:v>1126.8789678077801</c:v>
                </c:pt>
              </c:numCache>
            </c:numRef>
          </c:val>
          <c:smooth val="0"/>
          <c:extLst xmlns:c16r2="http://schemas.microsoft.com/office/drawing/2015/06/chart">
            <c:ext xmlns:c16="http://schemas.microsoft.com/office/drawing/2014/chart" uri="{C3380CC4-5D6E-409C-BE32-E72D297353CC}">
              <c16:uniqueId val="{0000000D-446D-43B8-B5B9-2110010A9245}"/>
            </c:ext>
          </c:extLst>
        </c:ser>
        <c:dLbls>
          <c:showLegendKey val="0"/>
          <c:showVal val="0"/>
          <c:showCatName val="0"/>
          <c:showSerName val="0"/>
          <c:showPercent val="0"/>
          <c:showBubbleSize val="0"/>
        </c:dLbls>
        <c:marker val="1"/>
        <c:smooth val="0"/>
        <c:axId val="177746520"/>
        <c:axId val="281952816"/>
      </c:lineChart>
      <c:catAx>
        <c:axId val="177746520"/>
        <c:scaling>
          <c:orientation val="minMax"/>
        </c:scaling>
        <c:delete val="0"/>
        <c:axPos val="b"/>
        <c:title>
          <c:tx>
            <c:rich>
              <a:bodyPr/>
              <a:lstStyle/>
              <a:p>
                <a:pPr>
                  <a:defRPr sz="900" b="0" i="0" u="none" strike="noStrike" baseline="0">
                    <a:solidFill>
                      <a:srgbClr val="000000"/>
                    </a:solidFill>
                    <a:latin typeface="Arial"/>
                    <a:ea typeface="Arial"/>
                    <a:cs typeface="Arial"/>
                  </a:defRPr>
                </a:pPr>
                <a:r>
                  <a:rPr lang="cs-CZ" sz="900" b="0" i="0" u="none" strike="noStrike" baseline="0">
                    <a:solidFill>
                      <a:srgbClr val="000000"/>
                    </a:solidFill>
                    <a:latin typeface="Arial"/>
                    <a:cs typeface="Arial"/>
                  </a:rPr>
                  <a:t>rok</a:t>
                </a:r>
              </a:p>
              <a:p>
                <a:pPr>
                  <a:defRPr sz="900" b="0" i="0" u="none" strike="noStrike" baseline="0">
                    <a:solidFill>
                      <a:srgbClr val="000000"/>
                    </a:solidFill>
                    <a:latin typeface="Arial"/>
                    <a:ea typeface="Arial"/>
                    <a:cs typeface="Arial"/>
                  </a:defRPr>
                </a:pPr>
                <a:endParaRPr lang="cs-CZ" sz="900" b="0" i="1" u="none" strike="noStrike" baseline="0">
                  <a:solidFill>
                    <a:srgbClr val="000000"/>
                  </a:solidFill>
                  <a:latin typeface="Arial"/>
                  <a:cs typeface="Arial"/>
                </a:endParaRPr>
              </a:p>
            </c:rich>
          </c:tx>
          <c:layout>
            <c:manualLayout>
              <c:xMode val="edge"/>
              <c:yMode val="edge"/>
              <c:x val="0.72212262127027937"/>
              <c:y val="0.7860376912345415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cs-CZ"/>
          </a:p>
        </c:txPr>
        <c:crossAx val="281952816"/>
        <c:crosses val="autoZero"/>
        <c:auto val="1"/>
        <c:lblAlgn val="ctr"/>
        <c:lblOffset val="100"/>
        <c:tickLblSkip val="2"/>
        <c:tickMarkSkip val="1"/>
        <c:noMultiLvlLbl val="0"/>
      </c:catAx>
      <c:valAx>
        <c:axId val="281952816"/>
        <c:scaling>
          <c:orientation val="minMax"/>
        </c:scaling>
        <c:delete val="0"/>
        <c:axPos val="l"/>
        <c:title>
          <c:tx>
            <c:rich>
              <a:bodyPr rot="0" vert="horz"/>
              <a:lstStyle/>
              <a:p>
                <a:pPr algn="ctr">
                  <a:defRPr sz="900" b="0" i="0" u="none" strike="noStrike" baseline="0">
                    <a:solidFill>
                      <a:srgbClr val="000000"/>
                    </a:solidFill>
                    <a:latin typeface="Arial"/>
                    <a:ea typeface="Arial"/>
                    <a:cs typeface="Arial"/>
                  </a:defRPr>
                </a:pPr>
                <a:r>
                  <a:rPr lang="cs-CZ" sz="900" b="0" i="0" u="none" strike="noStrike" baseline="0">
                    <a:solidFill>
                      <a:srgbClr val="000000"/>
                    </a:solidFill>
                    <a:latin typeface="Arial"/>
                    <a:cs typeface="Arial"/>
                  </a:rPr>
                  <a:t>tis. tun</a:t>
                </a:r>
              </a:p>
            </c:rich>
          </c:tx>
          <c:layout>
            <c:manualLayout>
              <c:xMode val="edge"/>
              <c:yMode val="edge"/>
              <c:x val="8.6218232959787873E-3"/>
              <c:y val="3.0725962071642458E-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cs-CZ"/>
          </a:p>
        </c:txPr>
        <c:crossAx val="177746520"/>
        <c:crosses val="autoZero"/>
        <c:crossBetween val="midCat"/>
      </c:valAx>
      <c:spPr>
        <a:solidFill>
          <a:srgbClr val="FFFFFF"/>
        </a:solidFill>
        <a:ln w="25400">
          <a:noFill/>
        </a:ln>
      </c:spPr>
    </c:plotArea>
    <c:legend>
      <c:legendPos val="r"/>
      <c:legendEntry>
        <c:idx val="1"/>
        <c:delete val="1"/>
      </c:legendEntry>
      <c:legendEntry>
        <c:idx val="3"/>
        <c:delete val="1"/>
      </c:legendEntry>
      <c:legendEntry>
        <c:idx val="5"/>
        <c:delete val="1"/>
      </c:legendEntry>
      <c:legendEntry>
        <c:idx val="6"/>
        <c:delete val="1"/>
      </c:legendEntry>
      <c:legendEntry>
        <c:idx val="7"/>
        <c:delete val="1"/>
      </c:legendEntry>
      <c:legendEntry>
        <c:idx val="8"/>
        <c:txPr>
          <a:bodyPr/>
          <a:lstStyle/>
          <a:p>
            <a:pPr>
              <a:defRPr sz="825" b="0" i="0" u="none" strike="noStrike" baseline="0">
                <a:solidFill>
                  <a:srgbClr val="000000"/>
                </a:solidFill>
                <a:latin typeface="Arial"/>
                <a:ea typeface="Arial"/>
                <a:cs typeface="Arial"/>
              </a:defRPr>
            </a:pPr>
            <a:endParaRPr lang="cs-CZ"/>
          </a:p>
        </c:txPr>
      </c:legendEntry>
      <c:legendEntry>
        <c:idx val="9"/>
        <c:delete val="1"/>
      </c:legendEntry>
      <c:legendEntry>
        <c:idx val="10"/>
        <c:txPr>
          <a:bodyPr/>
          <a:lstStyle/>
          <a:p>
            <a:pPr>
              <a:defRPr sz="825" b="0" i="0" u="none" strike="noStrike" baseline="0">
                <a:solidFill>
                  <a:srgbClr val="000000"/>
                </a:solidFill>
                <a:latin typeface="Arial"/>
                <a:ea typeface="Arial"/>
                <a:cs typeface="Arial"/>
              </a:defRPr>
            </a:pPr>
            <a:endParaRPr lang="cs-CZ"/>
          </a:p>
        </c:txPr>
      </c:legendEntry>
      <c:legendEntry>
        <c:idx val="11"/>
        <c:delete val="1"/>
      </c:legendEntry>
      <c:legendEntry>
        <c:idx val="12"/>
        <c:txPr>
          <a:bodyPr/>
          <a:lstStyle/>
          <a:p>
            <a:pPr>
              <a:defRPr sz="825" b="0" i="0" u="none" strike="noStrike" baseline="0">
                <a:solidFill>
                  <a:srgbClr val="000000"/>
                </a:solidFill>
                <a:latin typeface="Arial"/>
                <a:ea typeface="Arial"/>
                <a:cs typeface="Arial"/>
              </a:defRPr>
            </a:pPr>
            <a:endParaRPr lang="cs-CZ"/>
          </a:p>
        </c:txPr>
      </c:legendEntry>
      <c:legendEntry>
        <c:idx val="13"/>
        <c:delete val="1"/>
      </c:legendEntry>
      <c:layout>
        <c:manualLayout>
          <c:xMode val="edge"/>
          <c:yMode val="edge"/>
          <c:x val="0.77212598425196854"/>
          <c:y val="1.5015251471944385E-2"/>
          <c:w val="0.21673788216745946"/>
          <c:h val="0.49070648148148149"/>
        </c:manualLayout>
      </c:layout>
      <c:overlay val="0"/>
      <c:spPr>
        <a:solidFill>
          <a:srgbClr val="FFFFFF"/>
        </a:solidFill>
        <a:ln w="3175">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cs-CZ"/>
        </a:p>
      </c:txPr>
    </c:legend>
    <c:plotVisOnly val="1"/>
    <c:dispBlanksAs val="gap"/>
    <c:showDLblsOverMax val="0"/>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cs-CZ"/>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5-2019'!$D$72:$AE$72</c:f>
              <c:numCache>
                <c:formatCode>General</c:formatCode>
                <c:ptCount val="28"/>
                <c:pt idx="0">
                  <c:v>71290000</c:v>
                </c:pt>
                <c:pt idx="1">
                  <c:v>74200000</c:v>
                </c:pt>
                <c:pt idx="2">
                  <c:v>73400000</c:v>
                </c:pt>
                <c:pt idx="3">
                  <c:v>65260000</c:v>
                </c:pt>
                <c:pt idx="4">
                  <c:v>55740000</c:v>
                </c:pt>
                <c:pt idx="5">
                  <c:v>31120000</c:v>
                </c:pt>
                <c:pt idx="6">
                  <c:v>2800000</c:v>
                </c:pt>
                <c:pt idx="7">
                  <c:v>13683500</c:v>
                </c:pt>
                <c:pt idx="8">
                  <c:v>21040000</c:v>
                </c:pt>
                <c:pt idx="9">
                  <c:v>15803000</c:v>
                </c:pt>
                <c:pt idx="10">
                  <c:v>7465000</c:v>
                </c:pt>
                <c:pt idx="11">
                  <c:v>0</c:v>
                </c:pt>
                <c:pt idx="12">
                  <c:v>0</c:v>
                </c:pt>
                <c:pt idx="13">
                  <c:v>0</c:v>
                </c:pt>
                <c:pt idx="14">
                  <c:v>0</c:v>
                </c:pt>
                <c:pt idx="15">
                  <c:v>0</c:v>
                </c:pt>
                <c:pt idx="16">
                  <c:v>0</c:v>
                </c:pt>
                <c:pt idx="17">
                  <c:v>0</c:v>
                </c:pt>
                <c:pt idx="18">
                  <c:v>0</c:v>
                </c:pt>
                <c:pt idx="19">
                  <c:v>0</c:v>
                </c:pt>
                <c:pt idx="20">
                  <c:v>0</c:v>
                </c:pt>
                <c:pt idx="21">
                  <c:v>0</c:v>
                </c:pt>
                <c:pt idx="22">
                  <c:v>0</c:v>
                </c:pt>
                <c:pt idx="24">
                  <c:v>0</c:v>
                </c:pt>
                <c:pt idx="25">
                  <c:v>0</c:v>
                </c:pt>
                <c:pt idx="26">
                  <c:v>0</c:v>
                </c:pt>
                <c:pt idx="27">
                  <c:v>0</c:v>
                </c:pt>
              </c:numCache>
            </c:numRef>
          </c:val>
          <c:extLst xmlns:c16r2="http://schemas.microsoft.com/office/drawing/2015/06/chart">
            <c:ext xmlns:c16="http://schemas.microsoft.com/office/drawing/2014/chart" uri="{C3380CC4-5D6E-409C-BE32-E72D297353CC}">
              <c16:uniqueId val="{00000000-588B-403A-BEBA-74E0DEC115C7}"/>
            </c:ext>
          </c:extLst>
        </c:ser>
        <c:ser>
          <c:idx val="0"/>
          <c:order val="1"/>
          <c:tx>
            <c:v>bio</c:v>
          </c:tx>
          <c:spPr>
            <a:solidFill>
              <a:srgbClr val="92D050"/>
            </a:solidFill>
          </c:spPr>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5-2019'!$D$71:$AE$71</c:f>
              <c:numCache>
                <c:formatCode>General</c:formatCode>
                <c:ptCount val="28"/>
                <c:pt idx="0">
                  <c:v>0</c:v>
                </c:pt>
                <c:pt idx="1">
                  <c:v>0</c:v>
                </c:pt>
                <c:pt idx="2" formatCode="#,##0">
                  <c:v>5050000</c:v>
                </c:pt>
                <c:pt idx="3" formatCode="#,##0">
                  <c:v>20190000</c:v>
                </c:pt>
                <c:pt idx="4" formatCode="#,##0">
                  <c:v>40960000</c:v>
                </c:pt>
                <c:pt idx="5" formatCode="#,##0">
                  <c:v>78580000</c:v>
                </c:pt>
                <c:pt idx="6" formatCode="#,##0">
                  <c:v>127050000</c:v>
                </c:pt>
                <c:pt idx="7" formatCode="#,##0">
                  <c:v>142419000</c:v>
                </c:pt>
                <c:pt idx="8" formatCode="#,##0">
                  <c:v>156760000</c:v>
                </c:pt>
                <c:pt idx="9" formatCode="#,##0">
                  <c:v>175847000</c:v>
                </c:pt>
                <c:pt idx="10" formatCode="#,##0">
                  <c:v>198535000</c:v>
                </c:pt>
                <c:pt idx="11" formatCode="#,##0">
                  <c:v>215850000</c:v>
                </c:pt>
                <c:pt idx="12" formatCode="#,##0">
                  <c:v>224700000</c:v>
                </c:pt>
                <c:pt idx="13" formatCode="#,##0">
                  <c:v>228050000</c:v>
                </c:pt>
                <c:pt idx="14" formatCode="#,##0">
                  <c:v>232905000</c:v>
                </c:pt>
                <c:pt idx="15" formatCode="#,##0">
                  <c:v>237750000</c:v>
                </c:pt>
                <c:pt idx="16" formatCode="#,##0">
                  <c:v>241920000</c:v>
                </c:pt>
                <c:pt idx="17" formatCode="#,##0">
                  <c:v>246300000</c:v>
                </c:pt>
                <c:pt idx="18" formatCode="#,##0">
                  <c:v>243050000</c:v>
                </c:pt>
                <c:pt idx="19" formatCode="#,##0">
                  <c:v>237300000</c:v>
                </c:pt>
                <c:pt idx="20" formatCode="#,##0">
                  <c:v>232650000</c:v>
                </c:pt>
                <c:pt idx="21" formatCode="#,##0">
                  <c:v>227850000</c:v>
                </c:pt>
                <c:pt idx="22" formatCode="#,##0">
                  <c:v>223200000</c:v>
                </c:pt>
                <c:pt idx="23" formatCode="#,##0">
                  <c:v>208050000</c:v>
                </c:pt>
                <c:pt idx="24" formatCode="#,##0">
                  <c:v>195400000</c:v>
                </c:pt>
                <c:pt idx="25" formatCode="#,##0">
                  <c:v>182000000</c:v>
                </c:pt>
                <c:pt idx="26" formatCode="#,##0">
                  <c:v>165850000</c:v>
                </c:pt>
                <c:pt idx="27" formatCode="#,##0">
                  <c:v>159450000</c:v>
                </c:pt>
              </c:numCache>
            </c:numRef>
          </c:val>
          <c:extLst xmlns:c16r2="http://schemas.microsoft.com/office/drawing/2015/06/chart">
            <c:ext xmlns:c16="http://schemas.microsoft.com/office/drawing/2014/chart" uri="{C3380CC4-5D6E-409C-BE32-E72D297353CC}">
              <c16:uniqueId val="{00000001-588B-403A-BEBA-74E0DEC115C7}"/>
            </c:ext>
          </c:extLst>
        </c:ser>
        <c:dLbls>
          <c:showLegendKey val="0"/>
          <c:showVal val="0"/>
          <c:showCatName val="0"/>
          <c:showSerName val="0"/>
          <c:showPercent val="0"/>
          <c:showBubbleSize val="0"/>
        </c:dLbls>
        <c:gapWidth val="150"/>
        <c:overlap val="100"/>
        <c:axId val="284760808"/>
        <c:axId val="284761200"/>
      </c:barChart>
      <c:catAx>
        <c:axId val="284760808"/>
        <c:scaling>
          <c:orientation val="minMax"/>
        </c:scaling>
        <c:delete val="0"/>
        <c:axPos val="b"/>
        <c:numFmt formatCode="General" sourceLinked="1"/>
        <c:majorTickMark val="out"/>
        <c:minorTickMark val="none"/>
        <c:tickLblPos val="nextTo"/>
        <c:crossAx val="284761200"/>
        <c:crossesAt val="0"/>
        <c:auto val="1"/>
        <c:lblAlgn val="ctr"/>
        <c:lblOffset val="100"/>
        <c:tickLblSkip val="3"/>
        <c:noMultiLvlLbl val="0"/>
      </c:catAx>
      <c:valAx>
        <c:axId val="284761200"/>
        <c:scaling>
          <c:orientation val="minMax"/>
          <c:max val="700000000"/>
        </c:scaling>
        <c:delete val="0"/>
        <c:axPos val="l"/>
        <c:majorGridlines/>
        <c:numFmt formatCode="#,##0" sourceLinked="0"/>
        <c:majorTickMark val="out"/>
        <c:minorTickMark val="none"/>
        <c:tickLblPos val="nextTo"/>
        <c:crossAx val="284760808"/>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'[ČPS2222222222 - varianta Vopt_Vreal_BAU - 27.5.2019 - No.xls]verze 5-2019'!$D$6:$AE$6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5-2019'!$D$77:$AE$77</c:f>
              <c:numCache>
                <c:formatCode>General</c:formatCode>
                <c:ptCount val="28"/>
                <c:pt idx="0">
                  <c:v>71290000</c:v>
                </c:pt>
                <c:pt idx="1">
                  <c:v>76150000</c:v>
                </c:pt>
                <c:pt idx="2" formatCode="#,##0">
                  <c:v>83400000</c:v>
                </c:pt>
                <c:pt idx="3" formatCode="#,##0">
                  <c:v>95500000</c:v>
                </c:pt>
                <c:pt idx="4" formatCode="#,##0">
                  <c:v>114100000</c:v>
                </c:pt>
                <c:pt idx="5" formatCode="#,##0">
                  <c:v>131250000</c:v>
                </c:pt>
                <c:pt idx="6" formatCode="#,##0">
                  <c:v>148500000</c:v>
                </c:pt>
                <c:pt idx="7" formatCode="#,##0">
                  <c:v>155500000</c:v>
                </c:pt>
                <c:pt idx="8" formatCode="#,##0">
                  <c:v>138500000</c:v>
                </c:pt>
                <c:pt idx="9" formatCode="#,##0">
                  <c:v>104653000</c:v>
                </c:pt>
                <c:pt idx="10" formatCode="#,##0">
                  <c:v>126965000</c:v>
                </c:pt>
                <c:pt idx="11" formatCode="#,##0">
                  <c:v>138948000</c:v>
                </c:pt>
                <c:pt idx="12" formatCode="#,##0">
                  <c:v>123219000</c:v>
                </c:pt>
                <c:pt idx="13" formatCode="#,##0">
                  <c:v>130300000</c:v>
                </c:pt>
                <c:pt idx="14" formatCode="#,##0">
                  <c:v>143400000</c:v>
                </c:pt>
                <c:pt idx="15" formatCode="#,##0">
                  <c:v>159200000</c:v>
                </c:pt>
                <c:pt idx="16" formatCode="#,##0">
                  <c:v>173500000</c:v>
                </c:pt>
                <c:pt idx="17" formatCode="#,##0">
                  <c:v>172650000</c:v>
                </c:pt>
                <c:pt idx="18" formatCode="#,##0">
                  <c:v>168300000</c:v>
                </c:pt>
                <c:pt idx="19" formatCode="#,##0">
                  <c:v>158100000</c:v>
                </c:pt>
                <c:pt idx="20" formatCode="#,##0">
                  <c:v>145850000</c:v>
                </c:pt>
                <c:pt idx="21" formatCode="#,##0">
                  <c:v>131150000</c:v>
                </c:pt>
                <c:pt idx="22" formatCode="#,##0">
                  <c:v>107650000</c:v>
                </c:pt>
                <c:pt idx="23" formatCode="#,##0">
                  <c:v>75000000</c:v>
                </c:pt>
                <c:pt idx="24" formatCode="#,##0">
                  <c:v>51500000</c:v>
                </c:pt>
                <c:pt idx="25" formatCode="#,##0">
                  <c:v>17950000</c:v>
                </c:pt>
                <c:pt idx="26" formatCode="#,##0">
                  <c:v>0</c:v>
                </c:pt>
                <c:pt idx="27" formatCode="#,##0">
                  <c:v>0</c:v>
                </c:pt>
              </c:numCache>
            </c:numRef>
          </c:val>
          <c:extLst xmlns:c16r2="http://schemas.microsoft.com/office/drawing/2015/06/chart">
            <c:ext xmlns:c16="http://schemas.microsoft.com/office/drawing/2014/chart" uri="{C3380CC4-5D6E-409C-BE32-E72D297353CC}">
              <c16:uniqueId val="{00000000-AEAF-42DC-AC10-751E2D896A9A}"/>
            </c:ext>
          </c:extLst>
        </c:ser>
        <c:ser>
          <c:idx val="0"/>
          <c:order val="1"/>
          <c:tx>
            <c:v>bio</c:v>
          </c:tx>
          <c:spPr>
            <a:solidFill>
              <a:srgbClr val="92D050"/>
            </a:solidFill>
          </c:spPr>
          <c:invertIfNegative val="0"/>
          <c:cat>
            <c:numRef>
              <c:f>'[ČPS2222222222 - varianta Vopt_Vreal_BAU - 27.5.2019 - No.xls]verze 5-2019'!$D$6:$AE$6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5-2019'!$D$76:$AE$76</c:f>
              <c:numCache>
                <c:formatCode>General</c:formatCode>
                <c:ptCount val="28"/>
                <c:pt idx="0">
                  <c:v>0</c:v>
                </c:pt>
                <c:pt idx="1">
                  <c:v>0</c:v>
                </c:pt>
                <c:pt idx="2" formatCode="#,##0">
                  <c:v>1000000</c:v>
                </c:pt>
                <c:pt idx="3" formatCode="#,##0">
                  <c:v>3000000</c:v>
                </c:pt>
                <c:pt idx="4" formatCode="#,##0">
                  <c:v>10000000</c:v>
                </c:pt>
                <c:pt idx="5" formatCode="#,##0">
                  <c:v>15000000</c:v>
                </c:pt>
                <c:pt idx="6" formatCode="#,##0">
                  <c:v>25000000</c:v>
                </c:pt>
                <c:pt idx="7" formatCode="#,##0">
                  <c:v>50000000</c:v>
                </c:pt>
                <c:pt idx="8" formatCode="#,##0">
                  <c:v>100000000</c:v>
                </c:pt>
                <c:pt idx="9" formatCode="#,##0">
                  <c:v>175847000</c:v>
                </c:pt>
                <c:pt idx="10" formatCode="#,##0">
                  <c:v>198535000</c:v>
                </c:pt>
                <c:pt idx="11" formatCode="#,##0">
                  <c:v>232552000</c:v>
                </c:pt>
                <c:pt idx="12" formatCode="#,##0">
                  <c:v>288681000</c:v>
                </c:pt>
                <c:pt idx="13" formatCode="#,##0">
                  <c:v>310000000</c:v>
                </c:pt>
                <c:pt idx="14" formatCode="#,##0">
                  <c:v>325000000</c:v>
                </c:pt>
                <c:pt idx="15" formatCode="#,##0">
                  <c:v>340000000</c:v>
                </c:pt>
                <c:pt idx="16" formatCode="#,##0">
                  <c:v>360000000</c:v>
                </c:pt>
                <c:pt idx="17" formatCode="#,##0">
                  <c:v>385000000</c:v>
                </c:pt>
                <c:pt idx="18" formatCode="#,##0">
                  <c:v>410000000</c:v>
                </c:pt>
                <c:pt idx="19" formatCode="#,##0">
                  <c:v>440000000</c:v>
                </c:pt>
                <c:pt idx="20" formatCode="#,##0">
                  <c:v>460000000</c:v>
                </c:pt>
                <c:pt idx="21" formatCode="#,##0">
                  <c:v>475000000</c:v>
                </c:pt>
                <c:pt idx="22" formatCode="#,##0">
                  <c:v>500000000</c:v>
                </c:pt>
                <c:pt idx="23" formatCode="#,##0">
                  <c:v>530000000</c:v>
                </c:pt>
                <c:pt idx="24" formatCode="#,##0">
                  <c:v>555000000</c:v>
                </c:pt>
                <c:pt idx="25" formatCode="#,##0">
                  <c:v>585000000</c:v>
                </c:pt>
                <c:pt idx="26" formatCode="#,##0">
                  <c:v>602950000</c:v>
                </c:pt>
                <c:pt idx="27" formatCode="#,##0">
                  <c:v>602950000</c:v>
                </c:pt>
              </c:numCache>
            </c:numRef>
          </c:val>
          <c:extLst xmlns:c16r2="http://schemas.microsoft.com/office/drawing/2015/06/chart">
            <c:ext xmlns:c16="http://schemas.microsoft.com/office/drawing/2014/chart" uri="{C3380CC4-5D6E-409C-BE32-E72D297353CC}">
              <c16:uniqueId val="{00000001-AEAF-42DC-AC10-751E2D896A9A}"/>
            </c:ext>
          </c:extLst>
        </c:ser>
        <c:dLbls>
          <c:showLegendKey val="0"/>
          <c:showVal val="0"/>
          <c:showCatName val="0"/>
          <c:showSerName val="0"/>
          <c:showPercent val="0"/>
          <c:showBubbleSize val="0"/>
        </c:dLbls>
        <c:gapWidth val="150"/>
        <c:overlap val="100"/>
        <c:axId val="284761984"/>
        <c:axId val="284762376"/>
      </c:barChart>
      <c:catAx>
        <c:axId val="284761984"/>
        <c:scaling>
          <c:orientation val="minMax"/>
        </c:scaling>
        <c:delete val="0"/>
        <c:axPos val="b"/>
        <c:numFmt formatCode="General" sourceLinked="1"/>
        <c:majorTickMark val="out"/>
        <c:minorTickMark val="none"/>
        <c:tickLblPos val="nextTo"/>
        <c:crossAx val="284762376"/>
        <c:crosses val="autoZero"/>
        <c:auto val="1"/>
        <c:lblAlgn val="ctr"/>
        <c:lblOffset val="100"/>
        <c:tickLblSkip val="3"/>
        <c:noMultiLvlLbl val="0"/>
      </c:catAx>
      <c:valAx>
        <c:axId val="284762376"/>
        <c:scaling>
          <c:orientation val="minMax"/>
        </c:scaling>
        <c:delete val="0"/>
        <c:axPos val="l"/>
        <c:majorGridlines/>
        <c:numFmt formatCode="#,##0" sourceLinked="0"/>
        <c:majorTickMark val="out"/>
        <c:minorTickMark val="none"/>
        <c:tickLblPos val="nextTo"/>
        <c:crossAx val="284761984"/>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5-2019'!$D$81:$AE$81</c:f>
              <c:numCache>
                <c:formatCode>General</c:formatCode>
                <c:ptCount val="28"/>
                <c:pt idx="0">
                  <c:v>71290000</c:v>
                </c:pt>
                <c:pt idx="1">
                  <c:v>75700000</c:v>
                </c:pt>
                <c:pt idx="2" formatCode="#,##0">
                  <c:v>82500000</c:v>
                </c:pt>
                <c:pt idx="3" formatCode="#,##0">
                  <c:v>93550000</c:v>
                </c:pt>
                <c:pt idx="4" formatCode="#,##0">
                  <c:v>110400000</c:v>
                </c:pt>
                <c:pt idx="5" formatCode="#,##0">
                  <c:v>126750000</c:v>
                </c:pt>
                <c:pt idx="6" formatCode="#,##0">
                  <c:v>141600000</c:v>
                </c:pt>
                <c:pt idx="7" formatCode="#,##0">
                  <c:v>145450000</c:v>
                </c:pt>
                <c:pt idx="8" formatCode="#,##0">
                  <c:v>125300000</c:v>
                </c:pt>
                <c:pt idx="9" formatCode="#,##0">
                  <c:v>89803000</c:v>
                </c:pt>
                <c:pt idx="10" formatCode="#,##0">
                  <c:v>107465000</c:v>
                </c:pt>
                <c:pt idx="11" formatCode="#,##0">
                  <c:v>114798000</c:v>
                </c:pt>
                <c:pt idx="12" formatCode="#,##0">
                  <c:v>95019000</c:v>
                </c:pt>
                <c:pt idx="13" formatCode="#,##0">
                  <c:v>99550000</c:v>
                </c:pt>
                <c:pt idx="14" formatCode="#,##0">
                  <c:v>103900000</c:v>
                </c:pt>
                <c:pt idx="15" formatCode="#,##0">
                  <c:v>112500000</c:v>
                </c:pt>
                <c:pt idx="16" formatCode="#,##0">
                  <c:v>119500000</c:v>
                </c:pt>
                <c:pt idx="17" formatCode="#,##0">
                  <c:v>111150000</c:v>
                </c:pt>
                <c:pt idx="18" formatCode="#,##0">
                  <c:v>102300000</c:v>
                </c:pt>
                <c:pt idx="19" formatCode="#,##0">
                  <c:v>87150000</c:v>
                </c:pt>
                <c:pt idx="20" formatCode="#,##0">
                  <c:v>72500000</c:v>
                </c:pt>
                <c:pt idx="21" formatCode="#,##0">
                  <c:v>54350000</c:v>
                </c:pt>
                <c:pt idx="22" formatCode="#,##0">
                  <c:v>27700000</c:v>
                </c:pt>
                <c:pt idx="23" formatCode="#,##0">
                  <c:v>0</c:v>
                </c:pt>
                <c:pt idx="24" formatCode="#,##0">
                  <c:v>0</c:v>
                </c:pt>
                <c:pt idx="25" formatCode="#,##0">
                  <c:v>0</c:v>
                </c:pt>
                <c:pt idx="26" formatCode="#,##0">
                  <c:v>0</c:v>
                </c:pt>
                <c:pt idx="27" formatCode="#,##0">
                  <c:v>0</c:v>
                </c:pt>
              </c:numCache>
            </c:numRef>
          </c:val>
          <c:extLst xmlns:c16r2="http://schemas.microsoft.com/office/drawing/2015/06/chart">
            <c:ext xmlns:c16="http://schemas.microsoft.com/office/drawing/2014/chart" uri="{C3380CC4-5D6E-409C-BE32-E72D297353CC}">
              <c16:uniqueId val="{00000000-8E0C-48D6-B195-424C50DC7801}"/>
            </c:ext>
          </c:extLst>
        </c:ser>
        <c:ser>
          <c:idx val="0"/>
          <c:order val="1"/>
          <c:tx>
            <c:v>bio</c:v>
          </c:tx>
          <c:spPr>
            <a:solidFill>
              <a:srgbClr val="92D050"/>
            </a:solidFill>
          </c:spPr>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5-2019'!$D$80:$AE$80</c:f>
              <c:numCache>
                <c:formatCode>General</c:formatCode>
                <c:ptCount val="28"/>
                <c:pt idx="0">
                  <c:v>0</c:v>
                </c:pt>
                <c:pt idx="1">
                  <c:v>0</c:v>
                </c:pt>
                <c:pt idx="2" formatCode="#,##0">
                  <c:v>1000000</c:v>
                </c:pt>
                <c:pt idx="3" formatCode="#,##0">
                  <c:v>3000000</c:v>
                </c:pt>
                <c:pt idx="4" formatCode="#,##0">
                  <c:v>10000000</c:v>
                </c:pt>
                <c:pt idx="5" formatCode="#,##0">
                  <c:v>15000000</c:v>
                </c:pt>
                <c:pt idx="6" formatCode="#,##0">
                  <c:v>25000000</c:v>
                </c:pt>
                <c:pt idx="7" formatCode="#,##0">
                  <c:v>50000000</c:v>
                </c:pt>
                <c:pt idx="8" formatCode="#,##0">
                  <c:v>100000000</c:v>
                </c:pt>
                <c:pt idx="9" formatCode="#,##0">
                  <c:v>175847000</c:v>
                </c:pt>
                <c:pt idx="10" formatCode="#,##0">
                  <c:v>198535000</c:v>
                </c:pt>
                <c:pt idx="11" formatCode="#,##0">
                  <c:v>232552000</c:v>
                </c:pt>
                <c:pt idx="12" formatCode="#,##0">
                  <c:v>288681000</c:v>
                </c:pt>
                <c:pt idx="13" formatCode="#,##0">
                  <c:v>310000000</c:v>
                </c:pt>
                <c:pt idx="14" formatCode="#,##0">
                  <c:v>325000000</c:v>
                </c:pt>
                <c:pt idx="15" formatCode="#,##0">
                  <c:v>340000000</c:v>
                </c:pt>
                <c:pt idx="16" formatCode="#,##0">
                  <c:v>360000000</c:v>
                </c:pt>
                <c:pt idx="17" formatCode="#,##0">
                  <c:v>385000000</c:v>
                </c:pt>
                <c:pt idx="18" formatCode="#,##0">
                  <c:v>410000000</c:v>
                </c:pt>
                <c:pt idx="19" formatCode="#,##0">
                  <c:v>440000000</c:v>
                </c:pt>
                <c:pt idx="20" formatCode="#,##0">
                  <c:v>460000000</c:v>
                </c:pt>
                <c:pt idx="21" formatCode="#,##0">
                  <c:v>475000000</c:v>
                </c:pt>
                <c:pt idx="22" formatCode="#,##0">
                  <c:v>500000000</c:v>
                </c:pt>
                <c:pt idx="23" formatCode="#,##0">
                  <c:v>530000000</c:v>
                </c:pt>
                <c:pt idx="24" formatCode="#,##0">
                  <c:v>542450000</c:v>
                </c:pt>
                <c:pt idx="25" formatCode="#,##0">
                  <c:v>537932500</c:v>
                </c:pt>
                <c:pt idx="26" formatCode="#,##0">
                  <c:v>537700000</c:v>
                </c:pt>
                <c:pt idx="27" formatCode="#,##0">
                  <c:v>537527500</c:v>
                </c:pt>
              </c:numCache>
            </c:numRef>
          </c:val>
          <c:extLst xmlns:c16r2="http://schemas.microsoft.com/office/drawing/2015/06/chart">
            <c:ext xmlns:c16="http://schemas.microsoft.com/office/drawing/2014/chart" uri="{C3380CC4-5D6E-409C-BE32-E72D297353CC}">
              <c16:uniqueId val="{00000001-8E0C-48D6-B195-424C50DC7801}"/>
            </c:ext>
          </c:extLst>
        </c:ser>
        <c:dLbls>
          <c:showLegendKey val="0"/>
          <c:showVal val="0"/>
          <c:showCatName val="0"/>
          <c:showSerName val="0"/>
          <c:showPercent val="0"/>
          <c:showBubbleSize val="0"/>
        </c:dLbls>
        <c:gapWidth val="150"/>
        <c:overlap val="100"/>
        <c:axId val="284763160"/>
        <c:axId val="284344216"/>
      </c:barChart>
      <c:catAx>
        <c:axId val="284763160"/>
        <c:scaling>
          <c:orientation val="minMax"/>
        </c:scaling>
        <c:delete val="0"/>
        <c:axPos val="b"/>
        <c:numFmt formatCode="General" sourceLinked="1"/>
        <c:majorTickMark val="out"/>
        <c:minorTickMark val="none"/>
        <c:tickLblPos val="nextTo"/>
        <c:crossAx val="284344216"/>
        <c:crosses val="autoZero"/>
        <c:auto val="1"/>
        <c:lblAlgn val="ctr"/>
        <c:lblOffset val="100"/>
        <c:tickLblSkip val="3"/>
        <c:noMultiLvlLbl val="0"/>
      </c:catAx>
      <c:valAx>
        <c:axId val="284344216"/>
        <c:scaling>
          <c:orientation val="minMax"/>
          <c:max val="700000000"/>
        </c:scaling>
        <c:delete val="0"/>
        <c:axPos val="l"/>
        <c:majorGridlines/>
        <c:numFmt formatCode="#,##0" sourceLinked="0"/>
        <c:majorTickMark val="out"/>
        <c:minorTickMark val="none"/>
        <c:tickLblPos val="nextTo"/>
        <c:crossAx val="284763160"/>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5-2019'!$D$85:$AE$85</c:f>
              <c:numCache>
                <c:formatCode>General</c:formatCode>
                <c:ptCount val="28"/>
                <c:pt idx="0">
                  <c:v>71290000</c:v>
                </c:pt>
                <c:pt idx="1">
                  <c:v>74200000</c:v>
                </c:pt>
                <c:pt idx="2" formatCode="#,##0">
                  <c:v>77450000</c:v>
                </c:pt>
                <c:pt idx="3" formatCode="#,##0">
                  <c:v>82450000</c:v>
                </c:pt>
                <c:pt idx="4" formatCode="#,##0">
                  <c:v>86700000</c:v>
                </c:pt>
                <c:pt idx="5" formatCode="#,##0">
                  <c:v>94700000</c:v>
                </c:pt>
                <c:pt idx="6" formatCode="#,##0">
                  <c:v>104850000</c:v>
                </c:pt>
                <c:pt idx="7" formatCode="#,##0">
                  <c:v>106102500</c:v>
                </c:pt>
                <c:pt idx="8" formatCode="#,##0">
                  <c:v>77800000</c:v>
                </c:pt>
                <c:pt idx="9" formatCode="#,##0">
                  <c:v>15803000</c:v>
                </c:pt>
                <c:pt idx="10" formatCode="#,##0">
                  <c:v>7465000</c:v>
                </c:pt>
                <c:pt idx="11" formatCode="#,##0">
                  <c:v>0</c:v>
                </c:pt>
                <c:pt idx="12" formatCode="#,##0">
                  <c:v>0</c:v>
                </c:pt>
                <c:pt idx="13" formatCode="#,##0">
                  <c:v>0</c:v>
                </c:pt>
                <c:pt idx="14" formatCode="#,##0">
                  <c:v>0</c:v>
                </c:pt>
                <c:pt idx="15" formatCode="#,##0">
                  <c:v>0</c:v>
                </c:pt>
                <c:pt idx="16" formatCode="#,##0">
                  <c:v>0</c:v>
                </c:pt>
                <c:pt idx="17" formatCode="#,##0">
                  <c:v>0</c:v>
                </c:pt>
                <c:pt idx="18" formatCode="#,##0">
                  <c:v>0</c:v>
                </c:pt>
                <c:pt idx="19" formatCode="#,##0">
                  <c:v>0</c:v>
                </c:pt>
                <c:pt idx="20" formatCode="#,##0">
                  <c:v>0</c:v>
                </c:pt>
                <c:pt idx="21" formatCode="#,##0">
                  <c:v>0</c:v>
                </c:pt>
                <c:pt idx="22" formatCode="#,##0">
                  <c:v>0</c:v>
                </c:pt>
                <c:pt idx="23" formatCode="#,##0">
                  <c:v>0</c:v>
                </c:pt>
                <c:pt idx="24" formatCode="#,##0">
                  <c:v>0</c:v>
                </c:pt>
                <c:pt idx="25" formatCode="#,##0">
                  <c:v>0</c:v>
                </c:pt>
                <c:pt idx="26" formatCode="#,##0">
                  <c:v>0</c:v>
                </c:pt>
                <c:pt idx="27" formatCode="#,##0">
                  <c:v>0</c:v>
                </c:pt>
              </c:numCache>
            </c:numRef>
          </c:val>
          <c:extLst xmlns:c16r2="http://schemas.microsoft.com/office/drawing/2015/06/chart">
            <c:ext xmlns:c16="http://schemas.microsoft.com/office/drawing/2014/chart" uri="{C3380CC4-5D6E-409C-BE32-E72D297353CC}">
              <c16:uniqueId val="{00000000-DBD9-4819-8CE7-4EA2D980FA09}"/>
            </c:ext>
          </c:extLst>
        </c:ser>
        <c:ser>
          <c:idx val="0"/>
          <c:order val="1"/>
          <c:tx>
            <c:v>bio</c:v>
          </c:tx>
          <c:spPr>
            <a:solidFill>
              <a:srgbClr val="92D050"/>
            </a:solidFill>
          </c:spPr>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5-2019'!$D$84:$AE$84</c:f>
              <c:numCache>
                <c:formatCode>General</c:formatCode>
                <c:ptCount val="28"/>
                <c:pt idx="0">
                  <c:v>0</c:v>
                </c:pt>
                <c:pt idx="1">
                  <c:v>0</c:v>
                </c:pt>
                <c:pt idx="2" formatCode="#,##0">
                  <c:v>1000000</c:v>
                </c:pt>
                <c:pt idx="3" formatCode="#,##0">
                  <c:v>3000000</c:v>
                </c:pt>
                <c:pt idx="4" formatCode="#,##0">
                  <c:v>10000000</c:v>
                </c:pt>
                <c:pt idx="5" formatCode="#,##0">
                  <c:v>15000000</c:v>
                </c:pt>
                <c:pt idx="6" formatCode="#,##0">
                  <c:v>25000000</c:v>
                </c:pt>
                <c:pt idx="7" formatCode="#,##0">
                  <c:v>50000000</c:v>
                </c:pt>
                <c:pt idx="8" formatCode="#,##0">
                  <c:v>100000000</c:v>
                </c:pt>
                <c:pt idx="9" formatCode="#,##0">
                  <c:v>175847000</c:v>
                </c:pt>
                <c:pt idx="10" formatCode="#,##0">
                  <c:v>198535000</c:v>
                </c:pt>
                <c:pt idx="11" formatCode="#,##0">
                  <c:v>215850000</c:v>
                </c:pt>
                <c:pt idx="12" formatCode="#,##0">
                  <c:v>224700000</c:v>
                </c:pt>
                <c:pt idx="13" formatCode="#,##0">
                  <c:v>228050000</c:v>
                </c:pt>
                <c:pt idx="14" formatCode="#,##0">
                  <c:v>232905000</c:v>
                </c:pt>
                <c:pt idx="15" formatCode="#,##0">
                  <c:v>237750000</c:v>
                </c:pt>
                <c:pt idx="16" formatCode="#,##0">
                  <c:v>241920000</c:v>
                </c:pt>
                <c:pt idx="17" formatCode="#,##0">
                  <c:v>246300000</c:v>
                </c:pt>
                <c:pt idx="18" formatCode="#,##0">
                  <c:v>243050000</c:v>
                </c:pt>
                <c:pt idx="19" formatCode="#,##0">
                  <c:v>237300000</c:v>
                </c:pt>
                <c:pt idx="20" formatCode="#,##0">
                  <c:v>232650000</c:v>
                </c:pt>
                <c:pt idx="21" formatCode="#,##0">
                  <c:v>227850000</c:v>
                </c:pt>
                <c:pt idx="22" formatCode="#,##0">
                  <c:v>223200000</c:v>
                </c:pt>
                <c:pt idx="23" formatCode="#,##0">
                  <c:v>208050000</c:v>
                </c:pt>
                <c:pt idx="24" formatCode="#,##0">
                  <c:v>195400000</c:v>
                </c:pt>
                <c:pt idx="25" formatCode="#,##0">
                  <c:v>182000000</c:v>
                </c:pt>
                <c:pt idx="26" formatCode="#,##0">
                  <c:v>165850000</c:v>
                </c:pt>
                <c:pt idx="27" formatCode="#,##0">
                  <c:v>159450000</c:v>
                </c:pt>
              </c:numCache>
            </c:numRef>
          </c:val>
          <c:extLst xmlns:c16r2="http://schemas.microsoft.com/office/drawing/2015/06/chart">
            <c:ext xmlns:c16="http://schemas.microsoft.com/office/drawing/2014/chart" uri="{C3380CC4-5D6E-409C-BE32-E72D297353CC}">
              <c16:uniqueId val="{00000001-DBD9-4819-8CE7-4EA2D980FA09}"/>
            </c:ext>
          </c:extLst>
        </c:ser>
        <c:dLbls>
          <c:showLegendKey val="0"/>
          <c:showVal val="0"/>
          <c:showCatName val="0"/>
          <c:showSerName val="0"/>
          <c:showPercent val="0"/>
          <c:showBubbleSize val="0"/>
        </c:dLbls>
        <c:gapWidth val="150"/>
        <c:overlap val="100"/>
        <c:axId val="284345392"/>
        <c:axId val="284345784"/>
      </c:barChart>
      <c:catAx>
        <c:axId val="284345392"/>
        <c:scaling>
          <c:orientation val="minMax"/>
        </c:scaling>
        <c:delete val="0"/>
        <c:axPos val="b"/>
        <c:numFmt formatCode="General" sourceLinked="1"/>
        <c:majorTickMark val="out"/>
        <c:minorTickMark val="none"/>
        <c:tickLblPos val="nextTo"/>
        <c:crossAx val="284345784"/>
        <c:crosses val="autoZero"/>
        <c:auto val="1"/>
        <c:lblAlgn val="ctr"/>
        <c:lblOffset val="100"/>
        <c:noMultiLvlLbl val="0"/>
      </c:catAx>
      <c:valAx>
        <c:axId val="284345784"/>
        <c:scaling>
          <c:orientation val="minMax"/>
          <c:max val="700000000"/>
        </c:scaling>
        <c:delete val="0"/>
        <c:axPos val="l"/>
        <c:majorGridlines/>
        <c:numFmt formatCode="#,##0" sourceLinked="0"/>
        <c:majorTickMark val="out"/>
        <c:minorTickMark val="none"/>
        <c:tickLblPos val="nextTo"/>
        <c:crossAx val="284345392"/>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plotArea>
      <c:layout>
        <c:manualLayout>
          <c:layoutTarget val="inner"/>
          <c:xMode val="edge"/>
          <c:yMode val="edge"/>
          <c:x val="8.2471025963383543E-2"/>
          <c:y val="0.19962598312459667"/>
          <c:w val="0.86271050963314133"/>
          <c:h val="0.58017177634946815"/>
        </c:manualLayout>
      </c:layout>
      <c:lineChart>
        <c:grouping val="standard"/>
        <c:varyColors val="0"/>
        <c:ser>
          <c:idx val="2"/>
          <c:order val="2"/>
          <c:tx>
            <c:v>Počet vodíkových autobusů</c:v>
          </c:tx>
          <c:spPr>
            <a:ln w="25400" cap="rnd" cmpd="sng" algn="ctr">
              <a:solidFill>
                <a:schemeClr val="accent1">
                  <a:lumMod val="60000"/>
                  <a:lumOff val="40000"/>
                </a:schemeClr>
              </a:solidFill>
              <a:prstDash val="solid"/>
              <a:round/>
              <a:headEnd type="none" w="med" len="med"/>
              <a:tailEnd type="none" w="med" len="med"/>
            </a:ln>
          </c:spPr>
          <c:marker>
            <c:symbol val="none"/>
          </c:marker>
          <c:cat>
            <c:numRef>
              <c:f>'Výstupy  - grafy_nelin trend'!$M$289:$W$289</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'Výstupy  - grafy_nelin trend'!$M$292:$W$292</c:f>
              <c:numCache>
                <c:formatCode>#,##0;\(#,##0\);\-</c:formatCode>
                <c:ptCount val="11"/>
                <c:pt idx="0">
                  <c:v>1.9844838704461929</c:v>
                </c:pt>
                <c:pt idx="1">
                  <c:v>7.9379354817847716</c:v>
                </c:pt>
                <c:pt idx="2">
                  <c:v>19.05104515628345</c:v>
                </c:pt>
                <c:pt idx="3">
                  <c:v>31.751741927139086</c:v>
                </c:pt>
                <c:pt idx="4">
                  <c:v>59.534516113385777</c:v>
                </c:pt>
                <c:pt idx="5">
                  <c:v>95.255225781417252</c:v>
                </c:pt>
                <c:pt idx="6">
                  <c:v>166.69664511748016</c:v>
                </c:pt>
                <c:pt idx="7">
                  <c:v>285.76567734425174</c:v>
                </c:pt>
                <c:pt idx="8">
                  <c:v>442.93679988359014</c:v>
                </c:pt>
                <c:pt idx="9">
                  <c:v>635.03483854278159</c:v>
                </c:pt>
                <c:pt idx="10">
                  <c:v>873.17290299632464</c:v>
                </c:pt>
              </c:numCache>
            </c:numRef>
          </c:val>
          <c:smooth val="0"/>
          <c:extLst xmlns:c16r2="http://schemas.microsoft.com/office/drawing/2015/06/chart">
            <c:ext xmlns:c16="http://schemas.microsoft.com/office/drawing/2014/chart" uri="{C3380CC4-5D6E-409C-BE32-E72D297353CC}">
              <c16:uniqueId val="{00000000-FB8B-48C8-B0FF-1531C0375051}"/>
            </c:ext>
          </c:extLst>
        </c:ser>
        <c:dLbls>
          <c:showLegendKey val="0"/>
          <c:showVal val="0"/>
          <c:showCatName val="0"/>
          <c:showSerName val="0"/>
          <c:showPercent val="0"/>
          <c:showBubbleSize val="0"/>
        </c:dLbls>
        <c:smooth val="0"/>
        <c:axId val="284346568"/>
        <c:axId val="284346960"/>
        <c:extLst xmlns:c16r2="http://schemas.microsoft.com/office/drawing/2015/06/chart">
          <c:ext xmlns:c15="http://schemas.microsoft.com/office/drawing/2012/chart" uri="{02D57815-91ED-43cb-92C2-25804820EDAC}">
            <c15:filteredLineSeries>
              <c15:ser>
                <c:idx val="0"/>
                <c:order val="0"/>
                <c:tx>
                  <c:strRef>
                    <c:extLst xmlns:c16r2="http://schemas.microsoft.com/office/drawing/2015/06/chart">
                      <c:ext uri="{02D57815-91ED-43cb-92C2-25804820EDAC}">
                        <c15:formulaRef>
                          <c15:sqref>'Výstupy  - grafy_nelin trend'!$B$290</c15:sqref>
                        </c15:formulaRef>
                      </c:ext>
                    </c:extLst>
                    <c:strCache>
                      <c:ptCount val="1"/>
                      <c:pt idx="0">
                        <c:v>Scenario 1</c:v>
                      </c:pt>
                    </c:strCache>
                  </c:strRef>
                </c:tx>
                <c:spPr>
                  <a:ln w="25400" cap="rnd" cmpd="sng" algn="ctr">
                    <a:solidFill>
                      <a:srgbClr val="006D53"/>
                    </a:solidFill>
                    <a:prstDash val="solid"/>
                    <a:round/>
                    <a:headEnd type="none" w="med" len="med"/>
                    <a:tailEnd type="none" w="med" len="med"/>
                  </a:ln>
                </c:spPr>
                <c:marker>
                  <c:symbol val="none"/>
                </c:marker>
                <c:cat>
                  <c:numRef>
                    <c:extLst xmlns:c16r2="http://schemas.microsoft.com/office/drawing/2015/06/chart">
                      <c:ext uri="{02D57815-91ED-43cb-92C2-25804820EDAC}">
                        <c15:formulaRef>
                          <c15:sqref>'Výstupy  - grafy_nelin trend'!$M$289:$W$289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6r2="http://schemas.microsoft.com/office/drawing/2015/06/chart">
                      <c:ext uri="{02D57815-91ED-43cb-92C2-25804820EDAC}">
                        <c15:formulaRef>
                          <c15:sqref>'Výstupy  - grafy_nelin trend'!$C$290:$AQ$290</c15:sqref>
                        </c15:formulaRef>
                      </c:ext>
                    </c:extLst>
                    <c:numCache>
                      <c:formatCode>#,##0;\(#,##0\);\-</c:formatCode>
                      <c:ptCount val="31"/>
                      <c:pt idx="0">
                        <c:v>0</c:v>
                      </c:pt>
                      <c:pt idx="1">
                        <c:v>0</c:v>
                      </c:pt>
                      <c:pt idx="2">
                        <c:v>0</c:v>
                      </c:pt>
                      <c:pt idx="3">
                        <c:v>0</c:v>
                      </c:pt>
                      <c:pt idx="4">
                        <c:v>0</c:v>
                      </c:pt>
                      <c:pt idx="5">
                        <c:v>0</c:v>
                      </c:pt>
                      <c:pt idx="6">
                        <c:v>0</c:v>
                      </c:pt>
                      <c:pt idx="7">
                        <c:v>0</c:v>
                      </c:pt>
                      <c:pt idx="8">
                        <c:v>0</c:v>
                      </c:pt>
                      <c:pt idx="9">
                        <c:v>0</c:v>
                      </c:pt>
                      <c:pt idx="10">
                        <c:v>9.9224193522309658</c:v>
                      </c:pt>
                      <c:pt idx="11">
                        <c:v>39.689677408923863</c:v>
                      </c:pt>
                      <c:pt idx="12">
                        <c:v>95.255225781417266</c:v>
                      </c:pt>
                      <c:pt idx="13">
                        <c:v>158.75870963569545</c:v>
                      </c:pt>
                      <c:pt idx="14">
                        <c:v>297.6725805669289</c:v>
                      </c:pt>
                      <c:pt idx="15">
                        <c:v>476.27612890708633</c:v>
                      </c:pt>
                      <c:pt idx="16">
                        <c:v>833.48322558740108</c:v>
                      </c:pt>
                      <c:pt idx="17">
                        <c:v>1428.828386721259</c:v>
                      </c:pt>
                      <c:pt idx="18">
                        <c:v>2214.6839994179513</c:v>
                      </c:pt>
                      <c:pt idx="19">
                        <c:v>3254.5535475317561</c:v>
                      </c:pt>
                      <c:pt idx="20">
                        <c:v>4365.8645149816248</c:v>
                      </c:pt>
                      <c:pt idx="21">
                        <c:v>5617.2426076174252</c:v>
                      </c:pt>
                      <c:pt idx="22">
                        <c:v>6916.1639212588325</c:v>
                      </c:pt>
                      <c:pt idx="23">
                        <c:v>7994.6289059414166</c:v>
                      </c:pt>
                      <c:pt idx="24">
                        <c:v>9016.898256779421</c:v>
                      </c:pt>
                      <c:pt idx="25">
                        <c:v>9951.8503173177942</c:v>
                      </c:pt>
                      <c:pt idx="26">
                        <c:v>10693.583129496608</c:v>
                      </c:pt>
                      <c:pt idx="27">
                        <c:v>11275.381452980662</c:v>
                      </c:pt>
                      <c:pt idx="28">
                        <c:v>11836.432005494677</c:v>
                      </c:pt>
                      <c:pt idx="29">
                        <c:v>12196.052527373859</c:v>
                      </c:pt>
                      <c:pt idx="30">
                        <c:v>12514.177507312965</c:v>
                      </c:pt>
                    </c:numCache>
                  </c:numRef>
                </c:val>
                <c:smooth val="0"/>
                <c:extLst xmlns:c16r2="http://schemas.microsoft.com/office/drawing/2015/06/chart">
                  <c:ext xmlns:c16="http://schemas.microsoft.com/office/drawing/2014/chart" uri="{C3380CC4-5D6E-409C-BE32-E72D297353CC}">
                    <c16:uniqueId val="{00000001-FB8B-48C8-B0FF-1531C0375051}"/>
                  </c:ext>
                </c:extLst>
              </c15:ser>
            </c15:filteredLineSeries>
            <c15:filteredLineSeries>
              <c15:ser>
                <c:idx val="1"/>
                <c:order val="1"/>
                <c:tx>
                  <c:strRef>
                    <c:extLst xmlns:c15="http://schemas.microsoft.com/office/drawing/2012/chart" xmlns:c16r2="http://schemas.microsoft.com/office/drawing/2015/06/chart">
                      <c:ext xmlns:c15="http://schemas.microsoft.com/office/drawing/2012/chart" uri="{02D57815-91ED-43cb-92C2-25804820EDAC}">
                        <c15:formulaRef>
                          <c15:sqref>'Výstupy  - grafy_nelin trend'!$B$291</c15:sqref>
                        </c15:formulaRef>
                      </c:ext>
                    </c:extLst>
                    <c:strCache>
                      <c:ptCount val="1"/>
                      <c:pt idx="0">
                        <c:v>Scenario 2</c:v>
                      </c:pt>
                    </c:strCache>
                  </c:strRef>
                </c:tx>
                <c:spPr>
                  <a:ln w="25400" cap="rnd" cmpd="sng" algn="ctr">
                    <a:solidFill>
                      <a:srgbClr val="38205A"/>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trend'!$M$289:$W$289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trend'!$C$291:$AQ$291</c15:sqref>
                        </c15:formulaRef>
                      </c:ext>
                    </c:extLst>
                    <c:numCache>
                      <c:formatCode>#,##0;\(#,##0\);\-</c:formatCode>
                      <c:ptCount val="31"/>
                      <c:pt idx="0">
                        <c:v>0</c:v>
                      </c:pt>
                      <c:pt idx="1">
                        <c:v>0</c:v>
                      </c:pt>
                      <c:pt idx="2">
                        <c:v>0</c:v>
                      </c:pt>
                      <c:pt idx="3">
                        <c:v>0</c:v>
                      </c:pt>
                      <c:pt idx="4">
                        <c:v>0</c:v>
                      </c:pt>
                      <c:pt idx="5">
                        <c:v>0</c:v>
                      </c:pt>
                      <c:pt idx="6">
                        <c:v>0</c:v>
                      </c:pt>
                      <c:pt idx="7">
                        <c:v>0</c:v>
                      </c:pt>
                      <c:pt idx="8">
                        <c:v>0</c:v>
                      </c:pt>
                      <c:pt idx="9">
                        <c:v>0</c:v>
                      </c:pt>
                      <c:pt idx="10">
                        <c:v>6.201512095144353</c:v>
                      </c:pt>
                      <c:pt idx="11">
                        <c:v>24.806048380577412</c:v>
                      </c:pt>
                      <c:pt idx="12">
                        <c:v>59.534516113385791</c:v>
                      </c:pt>
                      <c:pt idx="13">
                        <c:v>99.224193522309648</c:v>
                      </c:pt>
                      <c:pt idx="14">
                        <c:v>186.04536285433059</c:v>
                      </c:pt>
                      <c:pt idx="15">
                        <c:v>297.67258056692896</c:v>
                      </c:pt>
                      <c:pt idx="16">
                        <c:v>520.92701599212558</c:v>
                      </c:pt>
                      <c:pt idx="17">
                        <c:v>893.01774170078681</c:v>
                      </c:pt>
                      <c:pt idx="18">
                        <c:v>1384.1774996362194</c:v>
                      </c:pt>
                      <c:pt idx="19">
                        <c:v>2034.0959672073477</c:v>
                      </c:pt>
                      <c:pt idx="20">
                        <c:v>2728.6653218635156</c:v>
                      </c:pt>
                      <c:pt idx="21">
                        <c:v>3616.7185828858906</c:v>
                      </c:pt>
                      <c:pt idx="22">
                        <c:v>4558.4384507867708</c:v>
                      </c:pt>
                      <c:pt idx="23">
                        <c:v>5369.7429880883856</c:v>
                      </c:pt>
                      <c:pt idx="24">
                        <c:v>6151.452660487138</c:v>
                      </c:pt>
                      <c:pt idx="25">
                        <c:v>6878.5890264486216</c:v>
                      </c:pt>
                      <c:pt idx="26">
                        <c:v>7473.9085496853804</c:v>
                      </c:pt>
                      <c:pt idx="27">
                        <c:v>7956.3717362379139</c:v>
                      </c:pt>
                      <c:pt idx="28">
                        <c:v>8422.1826284341732</c:v>
                      </c:pt>
                      <c:pt idx="29">
                        <c:v>8741.8325952336636</c:v>
                      </c:pt>
                      <c:pt idx="30">
                        <c:v>9028.1779733206058</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2-FB8B-48C8-B0FF-1531C0375051}"/>
                  </c:ext>
                </c:extLst>
              </c15:ser>
            </c15:filteredLineSeries>
            <c15:filteredLine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'Výstupy  - grafy_nelin trend'!$B$293</c15:sqref>
                        </c15:formulaRef>
                      </c:ext>
                    </c:extLst>
                    <c:strCache>
                      <c:ptCount val="1"/>
                      <c:pt idx="0">
                        <c:v>Scenario 4</c:v>
                      </c:pt>
                    </c:strCache>
                  </c:strRef>
                </c:tx>
                <c:spPr>
                  <a:ln w="25400" cap="rnd" cmpd="sng" algn="ctr">
                    <a:solidFill>
                      <a:srgbClr val="A57900"/>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trend'!$M$289:$W$289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trend'!$C$293:$AQ$293</c15:sqref>
                        </c15:formulaRef>
                      </c:ext>
                    </c:extLst>
                    <c:numCache>
                      <c:formatCode>#,##0;\(#,##0\);\-</c:formatCode>
                      <c:ptCount val="31"/>
                      <c:pt idx="0">
                        <c:v>0</c:v>
                      </c:pt>
                      <c:pt idx="1">
                        <c:v>0</c:v>
                      </c:pt>
                      <c:pt idx="2">
                        <c:v>0</c:v>
                      </c:pt>
                      <c:pt idx="3">
                        <c:v>0</c:v>
                      </c:pt>
                      <c:pt idx="4">
                        <c:v>0</c:v>
                      </c:pt>
                      <c:pt idx="5">
                        <c:v>0</c:v>
                      </c:pt>
                      <c:pt idx="6">
                        <c:v>0</c:v>
                      </c:pt>
                      <c:pt idx="7">
                        <c:v>0</c:v>
                      </c:pt>
                      <c:pt idx="8">
                        <c:v>0</c:v>
                      </c:pt>
                      <c:pt idx="9">
                        <c:v>0</c:v>
                      </c:pt>
                      <c:pt idx="10">
                        <c:v>0.74418145141732239</c:v>
                      </c:pt>
                      <c:pt idx="11">
                        <c:v>2.9767258056692896</c:v>
                      </c:pt>
                      <c:pt idx="12">
                        <c:v>7.1441419336062939</c:v>
                      </c:pt>
                      <c:pt idx="13">
                        <c:v>11.906903222677158</c:v>
                      </c:pt>
                      <c:pt idx="14">
                        <c:v>22.325443542519668</c:v>
                      </c:pt>
                      <c:pt idx="15">
                        <c:v>35.720709668031468</c:v>
                      </c:pt>
                      <c:pt idx="16">
                        <c:v>62.511241919055067</c:v>
                      </c:pt>
                      <c:pt idx="17">
                        <c:v>107.16212900409441</c:v>
                      </c:pt>
                      <c:pt idx="18">
                        <c:v>166.10129995634634</c:v>
                      </c:pt>
                      <c:pt idx="19">
                        <c:v>238.13806445354314</c:v>
                      </c:pt>
                      <c:pt idx="20">
                        <c:v>327.43983862362177</c:v>
                      </c:pt>
                      <c:pt idx="21">
                        <c:v>342.17463136168482</c:v>
                      </c:pt>
                      <c:pt idx="22">
                        <c:v>353.63502571351154</c:v>
                      </c:pt>
                      <c:pt idx="23">
                        <c:v>361.82102167910216</c:v>
                      </c:pt>
                      <c:pt idx="24">
                        <c:v>366.73261925845645</c:v>
                      </c:pt>
                      <c:pt idx="25">
                        <c:v>351.17922692383439</c:v>
                      </c:pt>
                      <c:pt idx="26">
                        <c:v>332.35143620297617</c:v>
                      </c:pt>
                      <c:pt idx="27">
                        <c:v>308.61204790276355</c:v>
                      </c:pt>
                      <c:pt idx="28">
                        <c:v>282.90802057080924</c:v>
                      </c:pt>
                      <c:pt idx="29">
                        <c:v>252.12867574018875</c:v>
                      </c:pt>
                      <c:pt idx="30">
                        <c:v>222.65909026406283</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3-FB8B-48C8-B0FF-1531C0375051}"/>
                  </c:ext>
                </c:extLst>
              </c15:ser>
            </c15:filteredLineSeries>
          </c:ext>
        </c:extLst>
      </c:lineChart>
      <c:catAx>
        <c:axId val="284346568"/>
        <c:scaling>
          <c:orientation val="minMax"/>
        </c:scaling>
        <c:delete val="0"/>
        <c:axPos val="b"/>
        <c:numFmt formatCode="General" sourceLinked="0"/>
        <c:majorTickMark val="out"/>
        <c:minorTickMark val="none"/>
        <c:tickLblPos val="low"/>
        <c:spPr>
          <a:ln>
            <a:solidFill>
              <a:srgbClr val="262626"/>
            </a:solidFill>
          </a:ln>
        </c:spPr>
        <c:txPr>
          <a:bodyPr rot="0" vert="horz"/>
          <a:lstStyle/>
          <a:p>
            <a:pPr>
              <a:defRPr sz="800" b="0">
                <a:solidFill>
                  <a:srgbClr val="262626"/>
                </a:solidFill>
                <a:latin typeface="Arial Narrow"/>
                <a:ea typeface="Arial Narrow"/>
                <a:cs typeface="Arial Narrow"/>
              </a:defRPr>
            </a:pPr>
            <a:endParaRPr lang="cs-CZ"/>
          </a:p>
        </c:txPr>
        <c:crossAx val="284346960"/>
        <c:crosses val="autoZero"/>
        <c:auto val="1"/>
        <c:lblAlgn val="ctr"/>
        <c:lblOffset val="100"/>
        <c:tickLblSkip val="5"/>
        <c:noMultiLvlLbl val="0"/>
      </c:catAx>
      <c:valAx>
        <c:axId val="284346960"/>
        <c:scaling>
          <c:orientation val="minMax"/>
          <c:min val="0"/>
        </c:scaling>
        <c:delete val="0"/>
        <c:axPos val="l"/>
        <c:numFmt formatCode="#,##0" sourceLinked="0"/>
        <c:majorTickMark val="out"/>
        <c:minorTickMark val="none"/>
        <c:tickLblPos val="nextTo"/>
        <c:spPr>
          <a:ln>
            <a:solidFill>
              <a:srgbClr val="262626"/>
            </a:solidFill>
          </a:ln>
        </c:spPr>
        <c:txPr>
          <a:bodyPr rot="0" vert="horz"/>
          <a:lstStyle/>
          <a:p>
            <a:pPr>
              <a:defRPr sz="800" b="0">
                <a:solidFill>
                  <a:srgbClr val="262626"/>
                </a:solidFill>
                <a:latin typeface="Arial Narrow"/>
                <a:ea typeface="Arial Narrow"/>
                <a:cs typeface="Arial Narrow"/>
              </a:defRPr>
            </a:pPr>
            <a:endParaRPr lang="cs-CZ"/>
          </a:p>
        </c:txPr>
        <c:crossAx val="284346568"/>
        <c:crosses val="autoZero"/>
        <c:crossBetween val="midCat"/>
      </c:valAx>
      <c:spPr>
        <a:noFill/>
        <a:extLst>
          <a:ext uri="{909E8E84-426E-40DD-AFC4-6F175D3DCCD1}">
            <a14:hiddenFill xmlns:a14="http://schemas.microsoft.com/office/drawing/2010/main">
              <a:solidFill>
                <a:sysClr val="window" lastClr="FFFFFF"/>
              </a:solidFill>
            </a14:hiddenFill>
          </a:ext>
        </a:extLst>
      </c:spPr>
    </c:plotArea>
    <c:plotVisOnly val="1"/>
    <c:dispBlanksAs val="gap"/>
    <c:showDLblsOverMax val="0"/>
  </c:chart>
  <c:spPr>
    <a:noFill/>
    <a:ln w="6350" cap="flat" cmpd="sng" algn="ctr">
      <a:noFill/>
      <a:prstDash val="solid"/>
      <a:round/>
    </a:ln>
    <a:effectLst/>
    <a:extLst>
      <a:ext uri="{909E8E84-426E-40DD-AFC4-6F175D3DCCD1}">
        <a14:hiddenFill xmlns:a14="http://schemas.microsoft.com/office/drawing/2010/main">
          <a:solidFill>
            <a:sysClr val="window" lastClr="FFFFFF"/>
          </a:solidFill>
        </a14:hiddenFill>
      </a:ext>
      <a:ext uri="{91240B29-F687-4F45-9708-019B960494DF}">
        <a14:hiddenLine xmlns:a14="http://schemas.microsoft.com/office/drawing/2010/main" w="6350" cap="flat" cmpd="sng" algn="ctr">
          <a:solidFill>
            <a:sysClr val="windowText" lastClr="000000">
              <a:tint val="75000"/>
            </a:sysClr>
          </a:solidFill>
          <a:prstDash val="solid"/>
          <a:round/>
        </a14:hiddenLine>
      </a:ext>
    </a:extLst>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plotArea>
      <c:layout>
        <c:manualLayout>
          <c:layoutTarget val="inner"/>
          <c:xMode val="edge"/>
          <c:yMode val="edge"/>
          <c:x val="0.12397774004395427"/>
          <c:y val="0.22253417853150351"/>
          <c:w val="0.82963534632452252"/>
          <c:h val="0.58017177634946815"/>
        </c:manualLayout>
      </c:layout>
      <c:lineChart>
        <c:grouping val="standard"/>
        <c:varyColors val="0"/>
        <c:ser>
          <c:idx val="3"/>
          <c:order val="3"/>
          <c:tx>
            <c:v>Počet vodíkových automobilů</c:v>
          </c:tx>
          <c:spPr>
            <a:ln w="25400" cap="rnd" cmpd="sng" algn="ctr">
              <a:solidFill>
                <a:schemeClr val="accent1">
                  <a:lumMod val="60000"/>
                  <a:lumOff val="40000"/>
                </a:schemeClr>
              </a:solidFill>
              <a:prstDash val="solid"/>
              <a:round/>
              <a:headEnd type="none" w="med" len="med"/>
              <a:tailEnd type="none" w="med" len="med"/>
            </a:ln>
          </c:spPr>
          <c:marker>
            <c:symbol val="none"/>
          </c:marker>
          <c:cat>
            <c:numRef>
              <c:f>'Výstupy  - grafy_nelin trend'!$M$266:$W$266</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extLst xmlns:c16r2="http://schemas.microsoft.com/office/drawing/2015/06/chart"/>
            </c:numRef>
          </c:cat>
          <c:val>
            <c:numRef>
              <c:f>'Výstupy  - grafy_nelin trend'!$M$269:$W$269</c:f>
              <c:numCache>
                <c:formatCode>#,##0;\(#,##0\);\-</c:formatCode>
                <c:ptCount val="11"/>
                <c:pt idx="0">
                  <c:v>80.147752373136342</c:v>
                </c:pt>
                <c:pt idx="1">
                  <c:v>320.59100949254537</c:v>
                </c:pt>
                <c:pt idx="2">
                  <c:v>801.47752373136359</c:v>
                </c:pt>
                <c:pt idx="3">
                  <c:v>1923.5460569552724</c:v>
                </c:pt>
                <c:pt idx="4">
                  <c:v>3473.069269502575</c:v>
                </c:pt>
                <c:pt idx="5">
                  <c:v>6411.8201898509078</c:v>
                </c:pt>
                <c:pt idx="6">
                  <c:v>11220.685332239087</c:v>
                </c:pt>
                <c:pt idx="7">
                  <c:v>19235.460569552724</c:v>
                </c:pt>
                <c:pt idx="8">
                  <c:v>29814.963882806725</c:v>
                </c:pt>
                <c:pt idx="9">
                  <c:v>42745.467932339394</c:v>
                </c:pt>
                <c:pt idx="10">
                  <c:v>58775.018406966665</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0-7D6D-4378-81D8-EB0F12421AE3}"/>
            </c:ext>
          </c:extLst>
        </c:ser>
        <c:dLbls>
          <c:showLegendKey val="0"/>
          <c:showVal val="0"/>
          <c:showCatName val="0"/>
          <c:showSerName val="0"/>
          <c:showPercent val="0"/>
          <c:showBubbleSize val="0"/>
        </c:dLbls>
        <c:smooth val="0"/>
        <c:axId val="284347744"/>
        <c:axId val="285147208"/>
        <c:extLst xmlns:c16r2="http://schemas.microsoft.com/office/drawing/2015/06/chart">
          <c:ext xmlns:c15="http://schemas.microsoft.com/office/drawing/2012/chart" uri="{02D57815-91ED-43cb-92C2-25804820EDAC}">
            <c15:filteredLineSeries>
              <c15:ser>
                <c:idx val="0"/>
                <c:order val="0"/>
                <c:tx>
                  <c:strRef>
                    <c:extLst xmlns:c16r2="http://schemas.microsoft.com/office/drawing/2015/06/chart">
                      <c:ext uri="{02D57815-91ED-43cb-92C2-25804820EDAC}">
                        <c15:formulaRef>
                          <c15:sqref>'Výstupy  - grafy_nelin trend'!$B$266</c15:sqref>
                        </c15:formulaRef>
                      </c:ext>
                    </c:extLst>
                    <c:strCache>
                      <c:ptCount val="1"/>
                      <c:pt idx="0">
                        <c:v> ks</c:v>
                      </c:pt>
                    </c:strCache>
                  </c:strRef>
                </c:tx>
                <c:spPr>
                  <a:ln w="25400" cap="rnd" cmpd="sng" algn="ctr">
                    <a:solidFill>
                      <a:srgbClr val="006D53"/>
                    </a:solidFill>
                    <a:prstDash val="solid"/>
                    <a:round/>
                    <a:headEnd type="none" w="med" len="med"/>
                    <a:tailEnd type="none" w="med" len="med"/>
                  </a:ln>
                </c:spPr>
                <c:marker>
                  <c:symbol val="none"/>
                </c:marker>
                <c:cat>
                  <c:numRef>
                    <c:extLst xmlns:c16r2="http://schemas.microsoft.com/office/drawing/2015/06/chart">
                      <c:ext uri="{02D57815-91ED-43cb-92C2-25804820EDAC}">
                        <c15:formulaRef>
                          <c15:sqref>'Výstupy  - grafy_nelin trend'!$M$266:$W$266</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6r2="http://schemas.microsoft.com/office/drawing/2015/06/chart">
                      <c:ext uri="{02D57815-91ED-43cb-92C2-25804820EDAC}">
                        <c15:formulaRef>
                          <c15:sqref>'Výstupy  - grafy_nelin trend'!$C$266:$AQ$266</c15:sqref>
                        </c15:formulaRef>
                      </c:ext>
                    </c:extLst>
                    <c:numCache>
                      <c:formatCode>General</c:formatCode>
                      <c:ptCount val="2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numCache>
                  </c:numRef>
                </c:val>
                <c:smooth val="0"/>
                <c:extLst xmlns:c16r2="http://schemas.microsoft.com/office/drawing/2015/06/chart">
                  <c:ext xmlns:c16="http://schemas.microsoft.com/office/drawing/2014/chart" uri="{C3380CC4-5D6E-409C-BE32-E72D297353CC}">
                    <c16:uniqueId val="{00000001-7D6D-4378-81D8-EB0F12421AE3}"/>
                  </c:ext>
                </c:extLst>
              </c15:ser>
            </c15:filteredLineSeries>
            <c15:filteredLineSeries>
              <c15:ser>
                <c:idx val="1"/>
                <c:order val="1"/>
                <c:tx>
                  <c:strRef>
                    <c:extLst xmlns:c15="http://schemas.microsoft.com/office/drawing/2012/chart" xmlns:c16r2="http://schemas.microsoft.com/office/drawing/2015/06/chart">
                      <c:ext xmlns:c15="http://schemas.microsoft.com/office/drawing/2012/chart" uri="{02D57815-91ED-43cb-92C2-25804820EDAC}">
                        <c15:formulaRef>
                          <c15:sqref>'Výstupy  - grafy_nelin trend'!$B$267</c15:sqref>
                        </c15:formulaRef>
                      </c:ext>
                    </c:extLst>
                    <c:strCache>
                      <c:ptCount val="1"/>
                      <c:pt idx="0">
                        <c:v>Scenario 1</c:v>
                      </c:pt>
                    </c:strCache>
                  </c:strRef>
                </c:tx>
                <c:spPr>
                  <a:ln w="25400" cap="rnd" cmpd="sng" algn="ctr">
                    <a:solidFill>
                      <a:srgbClr val="006D53"/>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trend'!$M$266:$W$266</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trend'!$C$267:$AQ$267</c15:sqref>
                        </c15:formulaRef>
                      </c:ext>
                    </c:extLst>
                    <c:numCache>
                      <c:formatCode>#,##0;\(#,##0\);\-</c:formatCode>
                      <c:ptCount val="21"/>
                      <c:pt idx="0">
                        <c:v>0</c:v>
                      </c:pt>
                      <c:pt idx="1">
                        <c:v>0</c:v>
                      </c:pt>
                      <c:pt idx="2">
                        <c:v>0</c:v>
                      </c:pt>
                      <c:pt idx="3">
                        <c:v>0</c:v>
                      </c:pt>
                      <c:pt idx="4">
                        <c:v>0</c:v>
                      </c:pt>
                      <c:pt idx="5">
                        <c:v>0</c:v>
                      </c:pt>
                      <c:pt idx="6">
                        <c:v>0</c:v>
                      </c:pt>
                      <c:pt idx="7">
                        <c:v>0</c:v>
                      </c:pt>
                      <c:pt idx="8">
                        <c:v>0</c:v>
                      </c:pt>
                      <c:pt idx="9">
                        <c:v>0</c:v>
                      </c:pt>
                      <c:pt idx="10" formatCode="#,##0.000;\(#,##0.000\);\-">
                        <c:v>1266.4616713793939</c:v>
                      </c:pt>
                      <c:pt idx="11">
                        <c:v>5065.8466855175757</c:v>
                      </c:pt>
                      <c:pt idx="12">
                        <c:v>12664.616713793941</c:v>
                      </c:pt>
                      <c:pt idx="13">
                        <c:v>30395.080113105454</c:v>
                      </c:pt>
                      <c:pt idx="14">
                        <c:v>54880.00575977374</c:v>
                      </c:pt>
                      <c:pt idx="15">
                        <c:v>101316.93371035153</c:v>
                      </c:pt>
                      <c:pt idx="16">
                        <c:v>177304.63399311513</c:v>
                      </c:pt>
                      <c:pt idx="17">
                        <c:v>303950.80113105458</c:v>
                      </c:pt>
                      <c:pt idx="18">
                        <c:v>471123.74175313459</c:v>
                      </c:pt>
                      <c:pt idx="19">
                        <c:v>692332.38035406871</c:v>
                      </c:pt>
                      <c:pt idx="20">
                        <c:v>928738.55901155574</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2-7D6D-4378-81D8-EB0F12421AE3}"/>
                  </c:ext>
                </c:extLst>
              </c15:ser>
            </c15:filteredLineSeries>
            <c15:filteredLineSeries>
              <c15:ser>
                <c:idx val="2"/>
                <c:order val="2"/>
                <c:tx>
                  <c:strRef>
                    <c:extLst xmlns:c15="http://schemas.microsoft.com/office/drawing/2012/chart" xmlns:c16r2="http://schemas.microsoft.com/office/drawing/2015/06/chart">
                      <c:ext xmlns:c15="http://schemas.microsoft.com/office/drawing/2012/chart" uri="{02D57815-91ED-43cb-92C2-25804820EDAC}">
                        <c15:formulaRef>
                          <c15:sqref>'Výstupy  - grafy_nelin trend'!$B$268</c15:sqref>
                        </c15:formulaRef>
                      </c:ext>
                    </c:extLst>
                    <c:strCache>
                      <c:ptCount val="1"/>
                      <c:pt idx="0">
                        <c:v>Scenario 2</c:v>
                      </c:pt>
                    </c:strCache>
                  </c:strRef>
                </c:tx>
                <c:spPr>
                  <a:ln w="25400" cap="rnd" cmpd="sng" algn="ctr">
                    <a:solidFill>
                      <a:srgbClr val="38205A"/>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trend'!$M$266:$W$266</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trend'!$C$268:$AQ$268</c15:sqref>
                        </c15:formulaRef>
                      </c:ext>
                    </c:extLst>
                    <c:numCache>
                      <c:formatCode>#,##0;\(#,##0\);\-</c:formatCode>
                      <c:ptCount val="21"/>
                      <c:pt idx="0">
                        <c:v>0</c:v>
                      </c:pt>
                      <c:pt idx="1">
                        <c:v>0</c:v>
                      </c:pt>
                      <c:pt idx="2">
                        <c:v>0</c:v>
                      </c:pt>
                      <c:pt idx="3">
                        <c:v>0</c:v>
                      </c:pt>
                      <c:pt idx="4">
                        <c:v>0</c:v>
                      </c:pt>
                      <c:pt idx="5">
                        <c:v>0</c:v>
                      </c:pt>
                      <c:pt idx="6">
                        <c:v>0</c:v>
                      </c:pt>
                      <c:pt idx="7">
                        <c:v>0</c:v>
                      </c:pt>
                      <c:pt idx="8">
                        <c:v>0</c:v>
                      </c:pt>
                      <c:pt idx="9">
                        <c:v>0</c:v>
                      </c:pt>
                      <c:pt idx="10">
                        <c:v>947.88481349417248</c:v>
                      </c:pt>
                      <c:pt idx="11">
                        <c:v>3791.5392539766899</c:v>
                      </c:pt>
                      <c:pt idx="12">
                        <c:v>9478.8481349417252</c:v>
                      </c:pt>
                      <c:pt idx="13">
                        <c:v>22749.235523860138</c:v>
                      </c:pt>
                      <c:pt idx="14">
                        <c:v>41075.008584747477</c:v>
                      </c:pt>
                      <c:pt idx="15">
                        <c:v>75830.785079533802</c:v>
                      </c:pt>
                      <c:pt idx="16">
                        <c:v>132703.87388918415</c:v>
                      </c:pt>
                      <c:pt idx="17">
                        <c:v>227492.35523860142</c:v>
                      </c:pt>
                      <c:pt idx="18">
                        <c:v>352613.15061983222</c:v>
                      </c:pt>
                      <c:pt idx="19">
                        <c:v>518177.0313768143</c:v>
                      </c:pt>
                      <c:pt idx="20">
                        <c:v>695115.52989572647</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3-7D6D-4378-81D8-EB0F12421AE3}"/>
                  </c:ext>
                </c:extLst>
              </c15:ser>
            </c15:filteredLineSeries>
            <c15:filteredLineSeries>
              <c15:ser>
                <c:idx val="4"/>
                <c:order val="4"/>
                <c:tx>
                  <c:strRef>
                    <c:extLst xmlns:c15="http://schemas.microsoft.com/office/drawing/2012/chart" xmlns:c16r2="http://schemas.microsoft.com/office/drawing/2015/06/chart">
                      <c:ext xmlns:c15="http://schemas.microsoft.com/office/drawing/2012/chart" uri="{02D57815-91ED-43cb-92C2-25804820EDAC}">
                        <c15:formulaRef>
                          <c15:sqref>'Výstupy  - grafy_nelin trend'!$B$270</c15:sqref>
                        </c15:formulaRef>
                      </c:ext>
                    </c:extLst>
                    <c:strCache>
                      <c:ptCount val="1"/>
                      <c:pt idx="0">
                        <c:v>Scenario 4</c:v>
                      </c:pt>
                    </c:strCache>
                  </c:strRef>
                </c:tx>
                <c:spPr>
                  <a:ln w="25400" cap="rnd" cmpd="sng" algn="ctr">
                    <a:solidFill>
                      <a:srgbClr val="A57900"/>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trend'!$M$266:$W$266</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trend'!$C$270:$AQ$270</c15:sqref>
                        </c15:formulaRef>
                      </c:ext>
                    </c:extLst>
                    <c:numCache>
                      <c:formatCode>#,##0;\(#,##0\);\-</c:formatCode>
                      <c:ptCount val="21"/>
                      <c:pt idx="0">
                        <c:v>0</c:v>
                      </c:pt>
                      <c:pt idx="1">
                        <c:v>0</c:v>
                      </c:pt>
                      <c:pt idx="2">
                        <c:v>0</c:v>
                      </c:pt>
                      <c:pt idx="3">
                        <c:v>0</c:v>
                      </c:pt>
                      <c:pt idx="4">
                        <c:v>0</c:v>
                      </c:pt>
                      <c:pt idx="5">
                        <c:v>0</c:v>
                      </c:pt>
                      <c:pt idx="6">
                        <c:v>0</c:v>
                      </c:pt>
                      <c:pt idx="7">
                        <c:v>0</c:v>
                      </c:pt>
                      <c:pt idx="8">
                        <c:v>0</c:v>
                      </c:pt>
                      <c:pt idx="9">
                        <c:v>0</c:v>
                      </c:pt>
                      <c:pt idx="10">
                        <c:v>633.66432161088164</c:v>
                      </c:pt>
                      <c:pt idx="11">
                        <c:v>2534.6572864435266</c:v>
                      </c:pt>
                      <c:pt idx="12">
                        <c:v>6336.643216108816</c:v>
                      </c:pt>
                      <c:pt idx="13">
                        <c:v>15207.943718661159</c:v>
                      </c:pt>
                      <c:pt idx="14">
                        <c:v>27458.787269804874</c:v>
                      </c:pt>
                      <c:pt idx="15">
                        <c:v>50693.145728870535</c:v>
                      </c:pt>
                      <c:pt idx="16">
                        <c:v>88713.005025523438</c:v>
                      </c:pt>
                      <c:pt idx="17">
                        <c:v>152079.43718661158</c:v>
                      </c:pt>
                      <c:pt idx="18">
                        <c:v>235723.12763924795</c:v>
                      </c:pt>
                      <c:pt idx="19">
                        <c:v>337954.30485913687</c:v>
                      </c:pt>
                      <c:pt idx="20">
                        <c:v>464687.16918131313</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4-7D6D-4378-81D8-EB0F12421AE3}"/>
                  </c:ext>
                </c:extLst>
              </c15:ser>
            </c15:filteredLineSeries>
          </c:ext>
        </c:extLst>
      </c:lineChart>
      <c:catAx>
        <c:axId val="284347744"/>
        <c:scaling>
          <c:orientation val="minMax"/>
        </c:scaling>
        <c:delete val="0"/>
        <c:axPos val="b"/>
        <c:numFmt formatCode="General" sourceLinked="0"/>
        <c:majorTickMark val="out"/>
        <c:minorTickMark val="none"/>
        <c:tickLblPos val="low"/>
        <c:spPr>
          <a:ln w="12700">
            <a:solidFill>
              <a:srgbClr val="262626"/>
            </a:solidFill>
          </a:ln>
        </c:spPr>
        <c:txPr>
          <a:bodyPr rot="0" vert="horz"/>
          <a:lstStyle/>
          <a:p>
            <a:pPr>
              <a:defRPr sz="800" b="0">
                <a:solidFill>
                  <a:srgbClr val="262626"/>
                </a:solidFill>
                <a:latin typeface="Arial Narrow"/>
                <a:ea typeface="Arial Narrow"/>
                <a:cs typeface="Arial Narrow"/>
              </a:defRPr>
            </a:pPr>
            <a:endParaRPr lang="cs-CZ"/>
          </a:p>
        </c:txPr>
        <c:crossAx val="285147208"/>
        <c:crosses val="autoZero"/>
        <c:auto val="1"/>
        <c:lblAlgn val="ctr"/>
        <c:lblOffset val="100"/>
        <c:tickLblSkip val="5"/>
        <c:noMultiLvlLbl val="0"/>
      </c:catAx>
      <c:valAx>
        <c:axId val="285147208"/>
        <c:scaling>
          <c:orientation val="minMax"/>
        </c:scaling>
        <c:delete val="0"/>
        <c:axPos val="l"/>
        <c:title>
          <c:tx>
            <c:rich>
              <a:bodyPr/>
              <a:lstStyle/>
              <a:p>
                <a:pPr>
                  <a:defRPr sz="800" b="0">
                    <a:solidFill>
                      <a:srgbClr val="262626"/>
                    </a:solidFill>
                    <a:latin typeface="Arial Narrow" panose="020B0606020202030204" pitchFamily="34" charset="0"/>
                  </a:defRPr>
                </a:pPr>
                <a:r>
                  <a:rPr lang="en-US"/>
                  <a:t>ks</a:t>
                </a:r>
              </a:p>
            </c:rich>
          </c:tx>
          <c:layout/>
          <c:overlay val="0"/>
          <c:spPr>
            <a:noFill/>
          </c:spPr>
        </c:title>
        <c:numFmt formatCode="#,##0" sourceLinked="0"/>
        <c:majorTickMark val="out"/>
        <c:minorTickMark val="none"/>
        <c:tickLblPos val="nextTo"/>
        <c:spPr>
          <a:ln>
            <a:solidFill>
              <a:srgbClr val="262626"/>
            </a:solidFill>
          </a:ln>
        </c:spPr>
        <c:txPr>
          <a:bodyPr rot="0" vert="horz"/>
          <a:lstStyle/>
          <a:p>
            <a:pPr>
              <a:defRPr sz="800" b="0">
                <a:solidFill>
                  <a:srgbClr val="262626"/>
                </a:solidFill>
                <a:latin typeface="Arial Narrow"/>
                <a:ea typeface="Arial Narrow"/>
                <a:cs typeface="Arial Narrow"/>
              </a:defRPr>
            </a:pPr>
            <a:endParaRPr lang="cs-CZ"/>
          </a:p>
        </c:txPr>
        <c:crossAx val="284347744"/>
        <c:crosses val="autoZero"/>
        <c:crossBetween val="midCat"/>
      </c:valAx>
      <c:spPr>
        <a:noFill/>
        <a:extLst>
          <a:ext uri="{909E8E84-426E-40DD-AFC4-6F175D3DCCD1}">
            <a14:hiddenFill xmlns:a14="http://schemas.microsoft.com/office/drawing/2010/main">
              <a:solidFill>
                <a:sysClr val="window" lastClr="FFFFFF"/>
              </a:solidFill>
            </a14:hiddenFill>
          </a:ext>
        </a:extLst>
      </c:spPr>
    </c:plotArea>
    <c:plotVisOnly val="1"/>
    <c:dispBlanksAs val="gap"/>
    <c:showDLblsOverMax val="0"/>
  </c:chart>
  <c:spPr>
    <a:noFill/>
    <a:ln w="6350" cap="flat" cmpd="sng" algn="ctr">
      <a:noFill/>
      <a:prstDash val="solid"/>
      <a:round/>
    </a:ln>
    <a:effectLst/>
    <a:extLst>
      <a:ext uri="{909E8E84-426E-40DD-AFC4-6F175D3DCCD1}">
        <a14:hiddenFill xmlns:a14="http://schemas.microsoft.com/office/drawing/2010/main">
          <a:solidFill>
            <a:sysClr val="window" lastClr="FFFFFF"/>
          </a:solidFill>
        </a14:hiddenFill>
      </a:ext>
      <a:ext uri="{91240B29-F687-4F45-9708-019B960494DF}">
        <a14:hiddenLine xmlns:a14="http://schemas.microsoft.com/office/drawing/2010/main" w="6350" cap="flat" cmpd="sng" algn="ctr">
          <a:solidFill>
            <a:sysClr val="windowText" lastClr="000000">
              <a:tint val="75000"/>
            </a:sysClr>
          </a:solidFill>
          <a:prstDash val="solid"/>
          <a:round/>
        </a14:hiddenLine>
      </a:ext>
    </a:extLst>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cs-CZ"/>
              <a:t>Počet </a:t>
            </a:r>
            <a:r>
              <a:rPr lang="en-US"/>
              <a:t>plnicích stanic</a:t>
            </a:r>
            <a:endParaRPr lang="cs-CZ"/>
          </a:p>
        </c:rich>
      </c:tx>
      <c:layout/>
      <c:overlay val="0"/>
    </c:title>
    <c:autoTitleDeleted val="0"/>
    <c:plotArea>
      <c:layout>
        <c:manualLayout>
          <c:layoutTarget val="inner"/>
          <c:xMode val="edge"/>
          <c:yMode val="edge"/>
          <c:x val="9.3712962707753367E-2"/>
          <c:y val="0.11944713042489051"/>
          <c:w val="0.86271050963314133"/>
          <c:h val="0.58017177634946815"/>
        </c:manualLayout>
      </c:layout>
      <c:lineChart>
        <c:grouping val="standard"/>
        <c:varyColors val="0"/>
        <c:ser>
          <c:idx val="2"/>
          <c:order val="2"/>
          <c:tx>
            <c:v>Počet PS</c:v>
          </c:tx>
          <c:spPr>
            <a:ln w="25400" cap="rnd" cmpd="sng" algn="ctr">
              <a:solidFill>
                <a:schemeClr val="accent1">
                  <a:lumMod val="60000"/>
                  <a:lumOff val="40000"/>
                </a:schemeClr>
              </a:solidFill>
              <a:prstDash val="solid"/>
              <a:round/>
              <a:headEnd type="none" w="med" len="med"/>
              <a:tailEnd type="none" w="med" len="med"/>
            </a:ln>
          </c:spPr>
          <c:marker>
            <c:symbol val="none"/>
          </c:marker>
          <c:cat>
            <c:numRef>
              <c:f>'Výstupy  - grafy_nelin trend'!$M$319:$W$319</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'Výstupy  - grafy_nelin trend'!$M$322:$W$322</c:f>
              <c:numCache>
                <c:formatCode>#,##0;\(#,##0\);\-</c:formatCode>
                <c:ptCount val="11"/>
                <c:pt idx="0">
                  <c:v>3</c:v>
                </c:pt>
                <c:pt idx="1">
                  <c:v>4</c:v>
                </c:pt>
                <c:pt idx="2">
                  <c:v>5</c:v>
                </c:pt>
                <c:pt idx="3">
                  <c:v>6</c:v>
                </c:pt>
                <c:pt idx="4">
                  <c:v>7.5</c:v>
                </c:pt>
                <c:pt idx="5">
                  <c:v>11.700000000000001</c:v>
                </c:pt>
                <c:pt idx="6">
                  <c:v>16</c:v>
                </c:pt>
                <c:pt idx="7">
                  <c:v>27</c:v>
                </c:pt>
                <c:pt idx="8">
                  <c:v>41</c:v>
                </c:pt>
                <c:pt idx="9">
                  <c:v>58</c:v>
                </c:pt>
                <c:pt idx="10">
                  <c:v>80</c:v>
                </c:pt>
              </c:numCache>
            </c:numRef>
          </c:val>
          <c:smooth val="0"/>
          <c:extLst xmlns:c16r2="http://schemas.microsoft.com/office/drawing/2015/06/chart">
            <c:ext xmlns:c16="http://schemas.microsoft.com/office/drawing/2014/chart" uri="{C3380CC4-5D6E-409C-BE32-E72D297353CC}">
              <c16:uniqueId val="{00000000-051E-4BB0-93AF-442D659DB66F}"/>
            </c:ext>
          </c:extLst>
        </c:ser>
        <c:dLbls>
          <c:showLegendKey val="0"/>
          <c:showVal val="0"/>
          <c:showCatName val="0"/>
          <c:showSerName val="0"/>
          <c:showPercent val="0"/>
          <c:showBubbleSize val="0"/>
        </c:dLbls>
        <c:smooth val="0"/>
        <c:axId val="285147992"/>
        <c:axId val="285148384"/>
        <c:extLst xmlns:c16r2="http://schemas.microsoft.com/office/drawing/2015/06/chart">
          <c:ext xmlns:c15="http://schemas.microsoft.com/office/drawing/2012/chart" uri="{02D57815-91ED-43cb-92C2-25804820EDAC}">
            <c15:filteredLineSeries>
              <c15:ser>
                <c:idx val="0"/>
                <c:order val="0"/>
                <c:tx>
                  <c:strRef>
                    <c:extLst xmlns:c16r2="http://schemas.microsoft.com/office/drawing/2015/06/chart">
                      <c:ext uri="{02D57815-91ED-43cb-92C2-25804820EDAC}">
                        <c15:formulaRef>
                          <c15:sqref>'Výstupy  - grafy_nelin trend'!$B$320</c15:sqref>
                        </c15:formulaRef>
                      </c:ext>
                    </c:extLst>
                    <c:strCache>
                      <c:ptCount val="1"/>
                      <c:pt idx="0">
                        <c:v>Scenario 1</c:v>
                      </c:pt>
                    </c:strCache>
                  </c:strRef>
                </c:tx>
                <c:spPr>
                  <a:ln w="25400" cap="rnd" cmpd="sng" algn="ctr">
                    <a:solidFill>
                      <a:srgbClr val="006D53"/>
                    </a:solidFill>
                    <a:prstDash val="solid"/>
                    <a:round/>
                    <a:headEnd type="none" w="med" len="med"/>
                    <a:tailEnd type="none" w="med" len="med"/>
                  </a:ln>
                </c:spPr>
                <c:marker>
                  <c:symbol val="none"/>
                </c:marker>
                <c:cat>
                  <c:numRef>
                    <c:extLst xmlns:c16r2="http://schemas.microsoft.com/office/drawing/2015/06/chart">
                      <c:ext uri="{02D57815-91ED-43cb-92C2-25804820EDAC}">
                        <c15:formulaRef>
                          <c15:sqref>'Výstupy  - grafy_nelin trend'!$M$319:$W$319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6r2="http://schemas.microsoft.com/office/drawing/2015/06/chart">
                      <c:ext uri="{02D57815-91ED-43cb-92C2-25804820EDAC}">
                        <c15:formulaRef>
                          <c15:sqref>'Výstupy  - grafy_nelin trend'!$C$320:$AQ$320</c15:sqref>
                        </c15:formulaRef>
                      </c:ext>
                    </c:extLst>
                    <c:numCache>
                      <c:formatCode>#,##0;\(#,##0\);\-</c:formatCode>
                      <c:ptCount val="41"/>
                      <c:pt idx="0">
                        <c:v>0</c:v>
                      </c:pt>
                      <c:pt idx="1">
                        <c:v>0</c:v>
                      </c:pt>
                      <c:pt idx="2">
                        <c:v>0</c:v>
                      </c:pt>
                      <c:pt idx="3">
                        <c:v>0</c:v>
                      </c:pt>
                      <c:pt idx="4">
                        <c:v>0</c:v>
                      </c:pt>
                      <c:pt idx="5">
                        <c:v>0</c:v>
                      </c:pt>
                      <c:pt idx="6">
                        <c:v>0</c:v>
                      </c:pt>
                      <c:pt idx="7">
                        <c:v>0</c:v>
                      </c:pt>
                      <c:pt idx="8">
                        <c:v>0</c:v>
                      </c:pt>
                      <c:pt idx="9">
                        <c:v>0</c:v>
                      </c:pt>
                      <c:pt idx="10">
                        <c:v>10</c:v>
                      </c:pt>
                      <c:pt idx="11">
                        <c:v>21</c:v>
                      </c:pt>
                      <c:pt idx="12">
                        <c:v>40.799999999999997</c:v>
                      </c:pt>
                      <c:pt idx="13">
                        <c:v>61.5</c:v>
                      </c:pt>
                      <c:pt idx="14">
                        <c:v>88.8</c:v>
                      </c:pt>
                      <c:pt idx="15">
                        <c:v>136</c:v>
                      </c:pt>
                      <c:pt idx="16">
                        <c:v>238</c:v>
                      </c:pt>
                      <c:pt idx="17">
                        <c:v>408</c:v>
                      </c:pt>
                      <c:pt idx="18">
                        <c:v>442</c:v>
                      </c:pt>
                      <c:pt idx="19">
                        <c:v>486</c:v>
                      </c:pt>
                      <c:pt idx="20">
                        <c:v>534</c:v>
                      </c:pt>
                      <c:pt idx="21">
                        <c:v>571</c:v>
                      </c:pt>
                      <c:pt idx="22">
                        <c:v>596</c:v>
                      </c:pt>
                      <c:pt idx="23">
                        <c:v>618</c:v>
                      </c:pt>
                      <c:pt idx="24">
                        <c:v>643</c:v>
                      </c:pt>
                      <c:pt idx="25">
                        <c:v>674</c:v>
                      </c:pt>
                      <c:pt idx="26">
                        <c:v>703</c:v>
                      </c:pt>
                      <c:pt idx="27">
                        <c:v>733</c:v>
                      </c:pt>
                      <c:pt idx="28">
                        <c:v>764</c:v>
                      </c:pt>
                      <c:pt idx="29">
                        <c:v>776</c:v>
                      </c:pt>
                      <c:pt idx="30">
                        <c:v>787</c:v>
                      </c:pt>
                      <c:pt idx="31">
                        <c:v>800</c:v>
                      </c:pt>
                      <c:pt idx="32">
                        <c:v>824</c:v>
                      </c:pt>
                      <c:pt idx="33">
                        <c:v>837</c:v>
                      </c:pt>
                      <c:pt idx="34">
                        <c:v>840</c:v>
                      </c:pt>
                      <c:pt idx="35">
                        <c:v>846</c:v>
                      </c:pt>
                      <c:pt idx="36">
                        <c:v>851</c:v>
                      </c:pt>
                      <c:pt idx="37">
                        <c:v>856</c:v>
                      </c:pt>
                      <c:pt idx="38">
                        <c:v>860</c:v>
                      </c:pt>
                      <c:pt idx="39">
                        <c:v>866</c:v>
                      </c:pt>
                      <c:pt idx="40">
                        <c:v>873</c:v>
                      </c:pt>
                    </c:numCache>
                  </c:numRef>
                </c:val>
                <c:smooth val="0"/>
                <c:extLst xmlns:c16r2="http://schemas.microsoft.com/office/drawing/2015/06/chart">
                  <c:ext xmlns:c16="http://schemas.microsoft.com/office/drawing/2014/chart" uri="{C3380CC4-5D6E-409C-BE32-E72D297353CC}">
                    <c16:uniqueId val="{00000001-051E-4BB0-93AF-442D659DB66F}"/>
                  </c:ext>
                </c:extLst>
              </c15:ser>
            </c15:filteredLineSeries>
            <c15:filteredLineSeries>
              <c15:ser>
                <c:idx val="1"/>
                <c:order val="1"/>
                <c:tx>
                  <c:strRef>
                    <c:extLst xmlns:c15="http://schemas.microsoft.com/office/drawing/2012/chart" xmlns:c16r2="http://schemas.microsoft.com/office/drawing/2015/06/chart">
                      <c:ext xmlns:c15="http://schemas.microsoft.com/office/drawing/2012/chart" uri="{02D57815-91ED-43cb-92C2-25804820EDAC}">
                        <c15:formulaRef>
                          <c15:sqref>'Výstupy  - grafy_nelin trend'!$B$321</c15:sqref>
                        </c15:formulaRef>
                      </c:ext>
                    </c:extLst>
                    <c:strCache>
                      <c:ptCount val="1"/>
                      <c:pt idx="0">
                        <c:v>Scenario 2</c:v>
                      </c:pt>
                    </c:strCache>
                  </c:strRef>
                </c:tx>
                <c:spPr>
                  <a:ln w="25400" cap="rnd" cmpd="sng" algn="ctr">
                    <a:solidFill>
                      <a:srgbClr val="38205A"/>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trend'!$M$319:$W$319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trend'!$C$321:$AQ$321</c15:sqref>
                        </c15:formulaRef>
                      </c:ext>
                    </c:extLst>
                    <c:numCache>
                      <c:formatCode>#,##0;\(#,##0\);\-</c:formatCode>
                      <c:ptCount val="41"/>
                      <c:pt idx="0">
                        <c:v>0</c:v>
                      </c:pt>
                      <c:pt idx="1">
                        <c:v>0</c:v>
                      </c:pt>
                      <c:pt idx="2">
                        <c:v>0</c:v>
                      </c:pt>
                      <c:pt idx="3">
                        <c:v>0</c:v>
                      </c:pt>
                      <c:pt idx="4">
                        <c:v>0</c:v>
                      </c:pt>
                      <c:pt idx="5">
                        <c:v>0</c:v>
                      </c:pt>
                      <c:pt idx="6">
                        <c:v>0</c:v>
                      </c:pt>
                      <c:pt idx="7">
                        <c:v>0</c:v>
                      </c:pt>
                      <c:pt idx="8">
                        <c:v>0</c:v>
                      </c:pt>
                      <c:pt idx="9">
                        <c:v>0</c:v>
                      </c:pt>
                      <c:pt idx="10">
                        <c:v>5</c:v>
                      </c:pt>
                      <c:pt idx="11">
                        <c:v>12</c:v>
                      </c:pt>
                      <c:pt idx="12">
                        <c:v>19.5</c:v>
                      </c:pt>
                      <c:pt idx="13">
                        <c:v>37.199999999999996</c:v>
                      </c:pt>
                      <c:pt idx="14">
                        <c:v>56</c:v>
                      </c:pt>
                      <c:pt idx="15">
                        <c:v>102</c:v>
                      </c:pt>
                      <c:pt idx="16">
                        <c:v>178</c:v>
                      </c:pt>
                      <c:pt idx="17">
                        <c:v>305</c:v>
                      </c:pt>
                      <c:pt idx="18">
                        <c:v>472</c:v>
                      </c:pt>
                      <c:pt idx="19">
                        <c:v>505</c:v>
                      </c:pt>
                      <c:pt idx="20">
                        <c:v>541</c:v>
                      </c:pt>
                      <c:pt idx="21">
                        <c:v>569</c:v>
                      </c:pt>
                      <c:pt idx="22">
                        <c:v>588</c:v>
                      </c:pt>
                      <c:pt idx="23">
                        <c:v>604</c:v>
                      </c:pt>
                      <c:pt idx="24">
                        <c:v>622</c:v>
                      </c:pt>
                      <c:pt idx="25">
                        <c:v>645</c:v>
                      </c:pt>
                      <c:pt idx="26">
                        <c:v>667</c:v>
                      </c:pt>
                      <c:pt idx="27">
                        <c:v>689</c:v>
                      </c:pt>
                      <c:pt idx="28">
                        <c:v>712</c:v>
                      </c:pt>
                      <c:pt idx="29">
                        <c:v>721</c:v>
                      </c:pt>
                      <c:pt idx="30">
                        <c:v>729</c:v>
                      </c:pt>
                      <c:pt idx="31">
                        <c:v>739</c:v>
                      </c:pt>
                      <c:pt idx="32">
                        <c:v>757</c:v>
                      </c:pt>
                      <c:pt idx="33">
                        <c:v>766</c:v>
                      </c:pt>
                      <c:pt idx="34">
                        <c:v>769</c:v>
                      </c:pt>
                      <c:pt idx="35">
                        <c:v>774</c:v>
                      </c:pt>
                      <c:pt idx="36">
                        <c:v>778</c:v>
                      </c:pt>
                      <c:pt idx="37">
                        <c:v>782</c:v>
                      </c:pt>
                      <c:pt idx="38">
                        <c:v>785</c:v>
                      </c:pt>
                      <c:pt idx="39">
                        <c:v>790</c:v>
                      </c:pt>
                      <c:pt idx="40">
                        <c:v>795</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2-051E-4BB0-93AF-442D659DB66F}"/>
                  </c:ext>
                </c:extLst>
              </c15:ser>
            </c15:filteredLineSeries>
            <c15:filteredLine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'Výstupy  - grafy_nelin trend'!$B$323</c15:sqref>
                        </c15:formulaRef>
                      </c:ext>
                    </c:extLst>
                    <c:strCache>
                      <c:ptCount val="1"/>
                      <c:pt idx="0">
                        <c:v>Scenario 4</c:v>
                      </c:pt>
                    </c:strCache>
                  </c:strRef>
                </c:tx>
                <c:spPr>
                  <a:ln w="25400" cap="rnd" cmpd="sng" algn="ctr">
                    <a:solidFill>
                      <a:srgbClr val="A57900"/>
                    </a:solidFill>
                    <a:prstDash val="solid"/>
                    <a:round/>
                    <a:headEnd type="none" w="med" len="med"/>
                    <a:tailEnd type="none" w="med" len="med"/>
                  </a:ln>
                </c:spPr>
                <c:marker>
                  <c:symbol val="none"/>
                </c:marker>
                <c:cat>
                  <c:numRef>
                    <c:extLst xmlns:c15="http://schemas.microsoft.com/office/drawing/2012/chart" xmlns:c16r2="http://schemas.microsoft.com/office/drawing/2015/06/chart">
                      <c:ext xmlns:c15="http://schemas.microsoft.com/office/drawing/2012/chart" uri="{02D57815-91ED-43cb-92C2-25804820EDAC}">
                        <c15:formulaRef>
                          <c15:sqref>'Výstupy  - grafy_nelin trend'!$M$319:$W$319</c15:sqref>
                        </c15:formulaRef>
                      </c:ext>
                    </c:extLst>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'Výstupy  - grafy_nelin trend'!$C$323:$AQ$323</c15:sqref>
                        </c15:formulaRef>
                      </c:ext>
                    </c:extLst>
                    <c:numCache>
                      <c:formatCode>#,##0;\(#,##0\);\-</c:formatCode>
                      <c:ptCount val="41"/>
                      <c:pt idx="0">
                        <c:v>0</c:v>
                      </c:pt>
                      <c:pt idx="1">
                        <c:v>0</c:v>
                      </c:pt>
                      <c:pt idx="2">
                        <c:v>0</c:v>
                      </c:pt>
                      <c:pt idx="3">
                        <c:v>0</c:v>
                      </c:pt>
                      <c:pt idx="4">
                        <c:v>0</c:v>
                      </c:pt>
                      <c:pt idx="5">
                        <c:v>0</c:v>
                      </c:pt>
                      <c:pt idx="6">
                        <c:v>0</c:v>
                      </c:pt>
                      <c:pt idx="7">
                        <c:v>0</c:v>
                      </c:pt>
                      <c:pt idx="8">
                        <c:v>0</c:v>
                      </c:pt>
                      <c:pt idx="9">
                        <c:v>0</c:v>
                      </c:pt>
                      <c:pt idx="10">
                        <c:v>1</c:v>
                      </c:pt>
                      <c:pt idx="11">
                        <c:v>4</c:v>
                      </c:pt>
                      <c:pt idx="12">
                        <c:v>9</c:v>
                      </c:pt>
                      <c:pt idx="13">
                        <c:v>21</c:v>
                      </c:pt>
                      <c:pt idx="14">
                        <c:v>37</c:v>
                      </c:pt>
                      <c:pt idx="15" formatCode="#,##0_);\(#,##0\);&quot;-  &quot;;&quot; &quot;@">
                        <c:v>68</c:v>
                      </c:pt>
                      <c:pt idx="16">
                        <c:v>119</c:v>
                      </c:pt>
                      <c:pt idx="17">
                        <c:v>204</c:v>
                      </c:pt>
                      <c:pt idx="18">
                        <c:v>316</c:v>
                      </c:pt>
                      <c:pt idx="19">
                        <c:v>452</c:v>
                      </c:pt>
                      <c:pt idx="20">
                        <c:v>477</c:v>
                      </c:pt>
                      <c:pt idx="21">
                        <c:v>491</c:v>
                      </c:pt>
                      <c:pt idx="22">
                        <c:v>506</c:v>
                      </c:pt>
                      <c:pt idx="23">
                        <c:v>521</c:v>
                      </c:pt>
                      <c:pt idx="24">
                        <c:v>536</c:v>
                      </c:pt>
                      <c:pt idx="25">
                        <c:v>550</c:v>
                      </c:pt>
                      <c:pt idx="26">
                        <c:v>565</c:v>
                      </c:pt>
                      <c:pt idx="27">
                        <c:v>580</c:v>
                      </c:pt>
                      <c:pt idx="28">
                        <c:v>591</c:v>
                      </c:pt>
                      <c:pt idx="29">
                        <c:v>597</c:v>
                      </c:pt>
                      <c:pt idx="30">
                        <c:v>602</c:v>
                      </c:pt>
                      <c:pt idx="31">
                        <c:v>609</c:v>
                      </c:pt>
                      <c:pt idx="32">
                        <c:v>617</c:v>
                      </c:pt>
                      <c:pt idx="33">
                        <c:v>623</c:v>
                      </c:pt>
                      <c:pt idx="34">
                        <c:v>629</c:v>
                      </c:pt>
                      <c:pt idx="35">
                        <c:v>632</c:v>
                      </c:pt>
                      <c:pt idx="36">
                        <c:v>635</c:v>
                      </c:pt>
                      <c:pt idx="37">
                        <c:v>637</c:v>
                      </c:pt>
                      <c:pt idx="38">
                        <c:v>639</c:v>
                      </c:pt>
                      <c:pt idx="39">
                        <c:v>642</c:v>
                      </c:pt>
                      <c:pt idx="40">
                        <c:v>645</c:v>
                      </c:pt>
                    </c:numCache>
                  </c:numRef>
                </c:val>
                <c:smooth val="0"/>
                <c:extLst xmlns:c15="http://schemas.microsoft.com/office/drawing/2012/chart" xmlns:c16r2="http://schemas.microsoft.com/office/drawing/2015/06/chart">
                  <c:ext xmlns:c16="http://schemas.microsoft.com/office/drawing/2014/chart" uri="{C3380CC4-5D6E-409C-BE32-E72D297353CC}">
                    <c16:uniqueId val="{00000003-051E-4BB0-93AF-442D659DB66F}"/>
                  </c:ext>
                </c:extLst>
              </c15:ser>
            </c15:filteredLineSeries>
          </c:ext>
        </c:extLst>
      </c:lineChart>
      <c:catAx>
        <c:axId val="285147992"/>
        <c:scaling>
          <c:orientation val="minMax"/>
        </c:scaling>
        <c:delete val="0"/>
        <c:axPos val="b"/>
        <c:numFmt formatCode="General" sourceLinked="0"/>
        <c:majorTickMark val="out"/>
        <c:minorTickMark val="none"/>
        <c:tickLblPos val="low"/>
        <c:spPr>
          <a:ln>
            <a:solidFill>
              <a:srgbClr val="262626"/>
            </a:solidFill>
          </a:ln>
        </c:spPr>
        <c:txPr>
          <a:bodyPr rot="0" vert="horz"/>
          <a:lstStyle/>
          <a:p>
            <a:pPr algn="ctr">
              <a:defRPr lang="en-US" sz="800" b="0" i="0" u="none" strike="noStrike" kern="1200" baseline="0">
                <a:solidFill>
                  <a:srgbClr val="262626"/>
                </a:solidFill>
                <a:latin typeface="Arial Narrow"/>
                <a:ea typeface="Arial Narrow"/>
                <a:cs typeface="Arial Narrow"/>
              </a:defRPr>
            </a:pPr>
            <a:endParaRPr lang="cs-CZ"/>
          </a:p>
        </c:txPr>
        <c:crossAx val="285148384"/>
        <c:crosses val="autoZero"/>
        <c:auto val="1"/>
        <c:lblAlgn val="ctr"/>
        <c:lblOffset val="100"/>
        <c:tickLblSkip val="5"/>
        <c:noMultiLvlLbl val="0"/>
      </c:catAx>
      <c:valAx>
        <c:axId val="285148384"/>
        <c:scaling>
          <c:orientation val="minMax"/>
        </c:scaling>
        <c:delete val="0"/>
        <c:axPos val="l"/>
        <c:title>
          <c:tx>
            <c:rich>
              <a:bodyPr/>
              <a:lstStyle/>
              <a:p>
                <a:pPr>
                  <a:defRPr sz="800" b="0">
                    <a:solidFill>
                      <a:srgbClr val="262626"/>
                    </a:solidFill>
                    <a:latin typeface="Arial Narrow" panose="020B0606020202030204" pitchFamily="34" charset="0"/>
                  </a:defRPr>
                </a:pPr>
                <a:r>
                  <a:rPr lang="en-US"/>
                  <a:t>ks</a:t>
                </a:r>
              </a:p>
            </c:rich>
          </c:tx>
          <c:layout/>
          <c:overlay val="0"/>
          <c:spPr>
            <a:noFill/>
          </c:spPr>
        </c:title>
        <c:numFmt formatCode="#,##0" sourceLinked="0"/>
        <c:majorTickMark val="out"/>
        <c:minorTickMark val="none"/>
        <c:tickLblPos val="nextTo"/>
        <c:spPr>
          <a:ln>
            <a:solidFill>
              <a:srgbClr val="262626"/>
            </a:solidFill>
          </a:ln>
        </c:spPr>
        <c:txPr>
          <a:bodyPr rot="0" vert="horz"/>
          <a:lstStyle/>
          <a:p>
            <a:pPr algn="ctr">
              <a:defRPr lang="en-US" sz="800" b="0" i="0" u="none" strike="noStrike" kern="1200" baseline="0">
                <a:solidFill>
                  <a:srgbClr val="262626"/>
                </a:solidFill>
                <a:latin typeface="Arial Narrow"/>
                <a:ea typeface="Arial Narrow"/>
                <a:cs typeface="Arial Narrow"/>
              </a:defRPr>
            </a:pPr>
            <a:endParaRPr lang="cs-CZ"/>
          </a:p>
        </c:txPr>
        <c:crossAx val="285147992"/>
        <c:crosses val="autoZero"/>
        <c:crossBetween val="midCat"/>
      </c:valAx>
      <c:spPr>
        <a:noFill/>
        <a:extLst>
          <a:ext uri="{909E8E84-426E-40DD-AFC4-6F175D3DCCD1}">
            <a14:hiddenFill xmlns:a14="http://schemas.microsoft.com/office/drawing/2010/main">
              <a:solidFill>
                <a:sysClr val="window" lastClr="FFFFFF"/>
              </a:solidFill>
            </a14:hiddenFill>
          </a:ext>
        </a:extLst>
      </c:spPr>
    </c:plotArea>
    <c:legend>
      <c:legendPos val="b"/>
      <c:layout>
        <c:manualLayout>
          <c:xMode val="edge"/>
          <c:yMode val="edge"/>
          <c:x val="0.41507094557421109"/>
          <c:y val="0.89300949889084802"/>
          <c:w val="0.16985810885157782"/>
          <c:h val="8.5145157151129955E-2"/>
        </c:manualLayout>
      </c:layout>
      <c:overlay val="0"/>
      <c:spPr>
        <a:noFill/>
      </c:spPr>
      <c:txPr>
        <a:bodyPr/>
        <a:lstStyle/>
        <a:p>
          <a:pPr>
            <a:defRPr sz="800" b="0">
              <a:solidFill>
                <a:srgbClr val="262626"/>
              </a:solidFill>
              <a:latin typeface="Arial Narrow"/>
              <a:ea typeface="Arial Narrow"/>
              <a:cs typeface="Arial Narrow"/>
            </a:defRPr>
          </a:pPr>
          <a:endParaRPr lang="cs-CZ"/>
        </a:p>
      </c:txPr>
    </c:legend>
    <c:plotVisOnly val="1"/>
    <c:dispBlanksAs val="gap"/>
    <c:showDLblsOverMax val="0"/>
  </c:chart>
  <c:spPr>
    <a:noFill/>
    <a:ln w="6350" cap="flat" cmpd="sng" algn="ctr">
      <a:noFill/>
      <a:prstDash val="solid"/>
      <a:round/>
    </a:ln>
    <a:effectLst/>
    <a:extLst>
      <a:ext uri="{909E8E84-426E-40DD-AFC4-6F175D3DCCD1}">
        <a14:hiddenFill xmlns:a14="http://schemas.microsoft.com/office/drawing/2010/main">
          <a:solidFill>
            <a:sysClr val="window" lastClr="FFFFFF"/>
          </a:solidFill>
        </a14:hiddenFill>
      </a:ext>
      <a:ext uri="{91240B29-F687-4F45-9708-019B960494DF}">
        <a14:hiddenLine xmlns:a14="http://schemas.microsoft.com/office/drawing/2010/main" w="6350" cap="flat" cmpd="sng" algn="ctr">
          <a:solidFill>
            <a:sysClr val="windowText" lastClr="000000">
              <a:tint val="75000"/>
            </a:sysClr>
          </a:solidFill>
          <a:prstDash val="solid"/>
          <a:round/>
        </a14:hiddenLine>
      </a:ext>
    </a:extLst>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3"/>
          <c:tx>
            <c:strRef>
              <c:f>List1!$E$1</c:f>
              <c:strCache>
                <c:ptCount val="1"/>
                <c:pt idx="0">
                  <c:v>F (růst podílu bio LPG pomalý)</c:v>
                </c:pt>
              </c:strCache>
            </c:strRef>
          </c:tx>
          <c:spPr>
            <a:solidFill>
              <a:srgbClr val="00B0F0"/>
            </a:solidFill>
            <a:ln>
              <a:noFill/>
            </a:ln>
            <a:effectLst/>
          </c:spPr>
          <c:invertIfNegative val="0"/>
          <c:cat>
            <c:numRef>
              <c:f>List1!$A$2:$A$17</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List1!$E$2:$E$17</c:f>
              <c:numCache>
                <c:formatCode>General</c:formatCode>
                <c:ptCount val="16"/>
                <c:pt idx="0">
                  <c:v>0</c:v>
                </c:pt>
                <c:pt idx="1">
                  <c:v>0</c:v>
                </c:pt>
                <c:pt idx="2">
                  <c:v>0</c:v>
                </c:pt>
                <c:pt idx="3">
                  <c:v>0</c:v>
                </c:pt>
                <c:pt idx="4">
                  <c:v>0</c:v>
                </c:pt>
                <c:pt idx="5">
                  <c:v>0</c:v>
                </c:pt>
                <c:pt idx="6">
                  <c:v>0</c:v>
                </c:pt>
                <c:pt idx="7">
                  <c:v>0</c:v>
                </c:pt>
                <c:pt idx="8">
                  <c:v>250</c:v>
                </c:pt>
                <c:pt idx="9">
                  <c:v>500</c:v>
                </c:pt>
                <c:pt idx="10">
                  <c:v>750</c:v>
                </c:pt>
                <c:pt idx="11">
                  <c:v>1000</c:v>
                </c:pt>
                <c:pt idx="12">
                  <c:v>2000</c:v>
                </c:pt>
                <c:pt idx="13">
                  <c:v>3250</c:v>
                </c:pt>
                <c:pt idx="14">
                  <c:v>4500</c:v>
                </c:pt>
                <c:pt idx="15">
                  <c:v>5000</c:v>
                </c:pt>
              </c:numCache>
            </c:numRef>
          </c:val>
          <c:extLst xmlns:c16r2="http://schemas.microsoft.com/office/drawing/2015/06/chart">
            <c:ext xmlns:c16="http://schemas.microsoft.com/office/drawing/2014/chart" uri="{C3380CC4-5D6E-409C-BE32-E72D297353CC}">
              <c16:uniqueId val="{00000000-A205-42E4-A7D8-10898B36E465}"/>
            </c:ext>
          </c:extLst>
        </c:ser>
        <c:ser>
          <c:idx val="4"/>
          <c:order val="4"/>
          <c:tx>
            <c:strRef>
              <c:f>List1!$F$1</c:f>
              <c:strCache>
                <c:ptCount val="1"/>
                <c:pt idx="0">
                  <c:v>B (růst podílu bio LPG rychlý)</c:v>
                </c:pt>
              </c:strCache>
            </c:strRef>
          </c:tx>
          <c:spPr>
            <a:solidFill>
              <a:srgbClr val="92D050"/>
            </a:solidFill>
            <a:ln>
              <a:solidFill>
                <a:srgbClr val="00B050"/>
              </a:solidFill>
            </a:ln>
            <a:effectLst/>
          </c:spPr>
          <c:invertIfNegative val="0"/>
          <c:cat>
            <c:numRef>
              <c:f>List1!$A$2:$A$17</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List1!$F$2:$F$17</c:f>
              <c:numCache>
                <c:formatCode>General</c:formatCode>
                <c:ptCount val="16"/>
                <c:pt idx="0">
                  <c:v>0</c:v>
                </c:pt>
                <c:pt idx="1">
                  <c:v>0</c:v>
                </c:pt>
                <c:pt idx="2">
                  <c:v>0</c:v>
                </c:pt>
                <c:pt idx="3">
                  <c:v>0</c:v>
                </c:pt>
                <c:pt idx="4">
                  <c:v>0</c:v>
                </c:pt>
                <c:pt idx="5">
                  <c:v>0</c:v>
                </c:pt>
                <c:pt idx="6">
                  <c:v>0</c:v>
                </c:pt>
                <c:pt idx="7">
                  <c:v>250</c:v>
                </c:pt>
                <c:pt idx="8">
                  <c:v>1000</c:v>
                </c:pt>
                <c:pt idx="9">
                  <c:v>5000</c:v>
                </c:pt>
                <c:pt idx="10">
                  <c:v>6000</c:v>
                </c:pt>
                <c:pt idx="11">
                  <c:v>10000</c:v>
                </c:pt>
                <c:pt idx="12">
                  <c:v>15000</c:v>
                </c:pt>
                <c:pt idx="13">
                  <c:v>20000</c:v>
                </c:pt>
                <c:pt idx="14">
                  <c:v>25000</c:v>
                </c:pt>
                <c:pt idx="15">
                  <c:v>30000</c:v>
                </c:pt>
              </c:numCache>
            </c:numRef>
          </c:val>
          <c:extLst xmlns:c16r2="http://schemas.microsoft.com/office/drawing/2015/06/chart">
            <c:ext xmlns:c16="http://schemas.microsoft.com/office/drawing/2014/chart" uri="{C3380CC4-5D6E-409C-BE32-E72D297353CC}">
              <c16:uniqueId val="{00000001-A205-42E4-A7D8-10898B36E465}"/>
            </c:ext>
          </c:extLst>
        </c:ser>
        <c:dLbls>
          <c:showLegendKey val="0"/>
          <c:showVal val="0"/>
          <c:showCatName val="0"/>
          <c:showSerName val="0"/>
          <c:showPercent val="0"/>
          <c:showBubbleSize val="0"/>
        </c:dLbls>
        <c:gapWidth val="247"/>
        <c:axId val="285150736"/>
        <c:axId val="285150344"/>
      </c:barChart>
      <c:lineChart>
        <c:grouping val="standard"/>
        <c:varyColors val="0"/>
        <c:ser>
          <c:idx val="0"/>
          <c:order val="0"/>
          <c:tx>
            <c:strRef>
              <c:f>List1!$B$1</c:f>
              <c:strCache>
                <c:ptCount val="1"/>
                <c:pt idx="0">
                  <c:v>S (stagnace spotřeby LPG)</c:v>
                </c:pt>
              </c:strCache>
            </c:strRef>
          </c:tx>
          <c:spPr>
            <a:ln w="22225" cap="rnd">
              <a:solidFill>
                <a:schemeClr val="accent4"/>
              </a:solidFill>
              <a:round/>
            </a:ln>
            <a:effectLst/>
          </c:spPr>
          <c:marker>
            <c:symbol val="none"/>
          </c:marker>
          <c:cat>
            <c:numRef>
              <c:f>List1!$A$2:$A$17</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List1!$B$2:$B$17</c:f>
              <c:numCache>
                <c:formatCode>General</c:formatCode>
                <c:ptCount val="16"/>
                <c:pt idx="0">
                  <c:v>99000</c:v>
                </c:pt>
                <c:pt idx="1">
                  <c:v>99000</c:v>
                </c:pt>
                <c:pt idx="2">
                  <c:v>96000</c:v>
                </c:pt>
                <c:pt idx="3">
                  <c:v>93000</c:v>
                </c:pt>
                <c:pt idx="4">
                  <c:v>92000</c:v>
                </c:pt>
                <c:pt idx="5">
                  <c:v>92000</c:v>
                </c:pt>
                <c:pt idx="6">
                  <c:v>93000</c:v>
                </c:pt>
                <c:pt idx="7">
                  <c:v>95000</c:v>
                </c:pt>
                <c:pt idx="8">
                  <c:v>97000</c:v>
                </c:pt>
                <c:pt idx="9">
                  <c:v>96000</c:v>
                </c:pt>
                <c:pt idx="10">
                  <c:v>95000</c:v>
                </c:pt>
                <c:pt idx="11">
                  <c:v>95000</c:v>
                </c:pt>
                <c:pt idx="12">
                  <c:v>95000</c:v>
                </c:pt>
                <c:pt idx="13">
                  <c:v>95000</c:v>
                </c:pt>
                <c:pt idx="14">
                  <c:v>95000</c:v>
                </c:pt>
                <c:pt idx="15">
                  <c:v>95000</c:v>
                </c:pt>
              </c:numCache>
            </c:numRef>
          </c:val>
          <c:smooth val="0"/>
          <c:extLst xmlns:c16r2="http://schemas.microsoft.com/office/drawing/2015/06/chart">
            <c:ext xmlns:c16="http://schemas.microsoft.com/office/drawing/2014/chart" uri="{C3380CC4-5D6E-409C-BE32-E72D297353CC}">
              <c16:uniqueId val="{00000002-A205-42E4-A7D8-10898B36E465}"/>
            </c:ext>
          </c:extLst>
        </c:ser>
        <c:ser>
          <c:idx val="1"/>
          <c:order val="1"/>
          <c:tx>
            <c:strRef>
              <c:f>List1!$C$1</c:f>
              <c:strCache>
                <c:ptCount val="1"/>
                <c:pt idx="0">
                  <c:v>R (růst spotřeby LPG)</c:v>
                </c:pt>
              </c:strCache>
            </c:strRef>
          </c:tx>
          <c:spPr>
            <a:ln w="22225" cap="rnd">
              <a:solidFill>
                <a:srgbClr val="00B050"/>
              </a:solidFill>
              <a:round/>
            </a:ln>
            <a:effectLst/>
          </c:spPr>
          <c:marker>
            <c:symbol val="none"/>
          </c:marker>
          <c:cat>
            <c:numRef>
              <c:f>List1!$A$2:$A$17</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List1!$C$2:$C$17</c:f>
              <c:numCache>
                <c:formatCode>General</c:formatCode>
                <c:ptCount val="16"/>
                <c:pt idx="0">
                  <c:v>99000</c:v>
                </c:pt>
                <c:pt idx="1">
                  <c:v>99000</c:v>
                </c:pt>
                <c:pt idx="2">
                  <c:v>96000</c:v>
                </c:pt>
                <c:pt idx="3">
                  <c:v>93000</c:v>
                </c:pt>
                <c:pt idx="4">
                  <c:v>92000</c:v>
                </c:pt>
                <c:pt idx="5">
                  <c:v>94000</c:v>
                </c:pt>
                <c:pt idx="6">
                  <c:v>97000</c:v>
                </c:pt>
                <c:pt idx="7">
                  <c:v>100000</c:v>
                </c:pt>
                <c:pt idx="8">
                  <c:v>103000</c:v>
                </c:pt>
                <c:pt idx="9">
                  <c:v>106000</c:v>
                </c:pt>
                <c:pt idx="10">
                  <c:v>111000</c:v>
                </c:pt>
                <c:pt idx="11">
                  <c:v>118000</c:v>
                </c:pt>
                <c:pt idx="12">
                  <c:v>126000</c:v>
                </c:pt>
                <c:pt idx="13">
                  <c:v>135000</c:v>
                </c:pt>
                <c:pt idx="14">
                  <c:v>145000</c:v>
                </c:pt>
                <c:pt idx="15">
                  <c:v>155000</c:v>
                </c:pt>
              </c:numCache>
            </c:numRef>
          </c:val>
          <c:smooth val="0"/>
          <c:extLst xmlns:c16r2="http://schemas.microsoft.com/office/drawing/2015/06/chart">
            <c:ext xmlns:c16="http://schemas.microsoft.com/office/drawing/2014/chart" uri="{C3380CC4-5D6E-409C-BE32-E72D297353CC}">
              <c16:uniqueId val="{00000003-A205-42E4-A7D8-10898B36E465}"/>
            </c:ext>
          </c:extLst>
        </c:ser>
        <c:ser>
          <c:idx val="2"/>
          <c:order val="2"/>
          <c:tx>
            <c:strRef>
              <c:f>List1!$D$1</c:f>
              <c:strCache>
                <c:ptCount val="1"/>
                <c:pt idx="0">
                  <c:v>P (pokles spotřebyLPG)</c:v>
                </c:pt>
              </c:strCache>
            </c:strRef>
          </c:tx>
          <c:spPr>
            <a:ln w="22225" cap="rnd">
              <a:solidFill>
                <a:srgbClr val="FF0000"/>
              </a:solidFill>
              <a:round/>
            </a:ln>
            <a:effectLst/>
          </c:spPr>
          <c:marker>
            <c:symbol val="none"/>
          </c:marker>
          <c:cat>
            <c:numRef>
              <c:f>List1!$A$2:$A$17</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List1!$D$2:$D$17</c:f>
              <c:numCache>
                <c:formatCode>General</c:formatCode>
                <c:ptCount val="16"/>
                <c:pt idx="0">
                  <c:v>99000</c:v>
                </c:pt>
                <c:pt idx="1">
                  <c:v>99000</c:v>
                </c:pt>
                <c:pt idx="2">
                  <c:v>96000</c:v>
                </c:pt>
                <c:pt idx="3">
                  <c:v>93000</c:v>
                </c:pt>
                <c:pt idx="4">
                  <c:v>92000</c:v>
                </c:pt>
                <c:pt idx="5">
                  <c:v>90000</c:v>
                </c:pt>
                <c:pt idx="6">
                  <c:v>86000</c:v>
                </c:pt>
                <c:pt idx="7">
                  <c:v>81000</c:v>
                </c:pt>
                <c:pt idx="8">
                  <c:v>75000</c:v>
                </c:pt>
                <c:pt idx="9">
                  <c:v>70000</c:v>
                </c:pt>
                <c:pt idx="10">
                  <c:v>65000</c:v>
                </c:pt>
                <c:pt idx="11">
                  <c:v>60000</c:v>
                </c:pt>
                <c:pt idx="12">
                  <c:v>55000</c:v>
                </c:pt>
                <c:pt idx="13">
                  <c:v>50000</c:v>
                </c:pt>
                <c:pt idx="14">
                  <c:v>40000</c:v>
                </c:pt>
                <c:pt idx="15">
                  <c:v>30000</c:v>
                </c:pt>
              </c:numCache>
            </c:numRef>
          </c:val>
          <c:smooth val="0"/>
          <c:extLst xmlns:c16r2="http://schemas.microsoft.com/office/drawing/2015/06/chart">
            <c:ext xmlns:c16="http://schemas.microsoft.com/office/drawing/2014/chart" uri="{C3380CC4-5D6E-409C-BE32-E72D297353CC}">
              <c16:uniqueId val="{00000004-A205-42E4-A7D8-10898B36E465}"/>
            </c:ext>
          </c:extLst>
        </c:ser>
        <c:dLbls>
          <c:showLegendKey val="0"/>
          <c:showVal val="0"/>
          <c:showCatName val="0"/>
          <c:showSerName val="0"/>
          <c:showPercent val="0"/>
          <c:showBubbleSize val="0"/>
        </c:dLbls>
        <c:marker val="1"/>
        <c:smooth val="0"/>
        <c:axId val="285149560"/>
        <c:axId val="285149952"/>
      </c:lineChart>
      <c:catAx>
        <c:axId val="28514956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cs-CZ"/>
                  <a:t>roky</a:t>
                </a:r>
              </a:p>
            </c:rich>
          </c:tx>
          <c:layout/>
          <c:overlay val="0"/>
          <c:spPr>
            <a:noFill/>
            <a:ln>
              <a:noFill/>
            </a:ln>
            <a:effectLst/>
          </c:spPr>
        </c:title>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1" i="0" u="none" strike="noStrike" kern="1200" cap="none" spc="0" normalizeH="0" baseline="0">
                <a:solidFill>
                  <a:sysClr val="windowText" lastClr="000000"/>
                </a:solidFill>
                <a:latin typeface="+mn-lt"/>
                <a:ea typeface="+mn-ea"/>
                <a:cs typeface="+mn-cs"/>
              </a:defRPr>
            </a:pPr>
            <a:endParaRPr lang="cs-CZ"/>
          </a:p>
        </c:txPr>
        <c:crossAx val="285149952"/>
        <c:crosses val="autoZero"/>
        <c:auto val="1"/>
        <c:lblAlgn val="ctr"/>
        <c:lblOffset val="100"/>
        <c:noMultiLvlLbl val="0"/>
      </c:catAx>
      <c:valAx>
        <c:axId val="285149952"/>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cs-CZ"/>
                  <a:t>tuny</a:t>
                </a:r>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cs-CZ"/>
          </a:p>
        </c:txPr>
        <c:crossAx val="285149560"/>
        <c:crosses val="autoZero"/>
        <c:crossBetween val="between"/>
      </c:valAx>
      <c:valAx>
        <c:axId val="285150344"/>
        <c:scaling>
          <c:orientation val="minMax"/>
          <c:max val="180000"/>
        </c:scaling>
        <c:delete val="0"/>
        <c:axPos val="r"/>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cs-CZ"/>
          </a:p>
        </c:txPr>
        <c:crossAx val="285150736"/>
        <c:crosses val="max"/>
        <c:crossBetween val="between"/>
      </c:valAx>
      <c:catAx>
        <c:axId val="285150736"/>
        <c:scaling>
          <c:orientation val="minMax"/>
        </c:scaling>
        <c:delete val="1"/>
        <c:axPos val="b"/>
        <c:numFmt formatCode="General" sourceLinked="1"/>
        <c:majorTickMark val="out"/>
        <c:minorTickMark val="none"/>
        <c:tickLblPos val="none"/>
        <c:crossAx val="285150344"/>
        <c:crosses val="autoZero"/>
        <c:auto val="1"/>
        <c:lblAlgn val="ctr"/>
        <c:lblOffset val="100"/>
        <c:noMultiLvlLbl val="0"/>
      </c:catAx>
      <c:spPr>
        <a:pattFill prst="ltDnDiag">
          <a:fgClr>
            <a:schemeClr val="dk1">
              <a:lumMod val="15000"/>
              <a:lumOff val="85000"/>
            </a:schemeClr>
          </a:fgClr>
          <a:bgClr>
            <a:schemeClr val="lt1"/>
          </a:bgClr>
        </a:pattFill>
        <a:ln>
          <a:noFill/>
        </a:ln>
        <a:effectLst/>
      </c:spPr>
    </c:plotArea>
    <c:legend>
      <c:legendPos val="b"/>
      <c:layout>
        <c:manualLayout>
          <c:xMode val="edge"/>
          <c:yMode val="edge"/>
          <c:x val="2.6644663184145292E-2"/>
          <c:y val="0.84543309008512091"/>
          <c:w val="0.94671067363171335"/>
          <c:h val="0.15456697983582818"/>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cs-CZ"/>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solidFill>
      <a:round/>
    </a:ln>
    <a:effectLst/>
  </c:spPr>
  <c:txPr>
    <a:bodyPr/>
    <a:lstStyle/>
    <a:p>
      <a:pPr>
        <a:defRPr/>
      </a:pPr>
      <a:endParaRPr lang="cs-CZ"/>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1618547681681"/>
          <c:y val="5.1400554097404488E-2"/>
          <c:w val="0.65740048118985162"/>
          <c:h val="0.79523549139690852"/>
        </c:manualLayout>
      </c:layout>
      <c:lineChart>
        <c:grouping val="standard"/>
        <c:varyColors val="0"/>
        <c:ser>
          <c:idx val="0"/>
          <c:order val="0"/>
          <c:tx>
            <c:v>%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5-2019'!$D$246:$AE$246</c:f>
              <c:numCache>
                <c:formatCode>General</c:formatCode>
                <c:ptCount val="28"/>
                <c:pt idx="0">
                  <c:v>0</c:v>
                </c:pt>
                <c:pt idx="1">
                  <c:v>0</c:v>
                </c:pt>
                <c:pt idx="2">
                  <c:v>2963.8120000000022</c:v>
                </c:pt>
                <c:pt idx="3">
                  <c:v>5216.6325000000024</c:v>
                </c:pt>
                <c:pt idx="4">
                  <c:v>8840.0459999998875</c:v>
                </c:pt>
                <c:pt idx="5">
                  <c:v>13080.843750000036</c:v>
                </c:pt>
                <c:pt idx="6">
                  <c:v>21813.41749999996</c:v>
                </c:pt>
                <c:pt idx="7">
                  <c:v>33335.842500000093</c:v>
                </c:pt>
                <c:pt idx="8">
                  <c:v>43138.275000000001</c:v>
                </c:pt>
                <c:pt idx="9">
                  <c:v>56044.532499999892</c:v>
                </c:pt>
                <c:pt idx="10">
                  <c:v>71143.59</c:v>
                </c:pt>
                <c:pt idx="11">
                  <c:v>88137.692499999917</c:v>
                </c:pt>
                <c:pt idx="12">
                  <c:v>100397.299</c:v>
                </c:pt>
                <c:pt idx="13">
                  <c:v>112807.16299999993</c:v>
                </c:pt>
                <c:pt idx="14">
                  <c:v>121994.264</c:v>
                </c:pt>
                <c:pt idx="15">
                  <c:v>128205.53200000004</c:v>
                </c:pt>
                <c:pt idx="16">
                  <c:v>137125.83499999892</c:v>
                </c:pt>
                <c:pt idx="17">
                  <c:v>143429.85649999799</c:v>
                </c:pt>
                <c:pt idx="18">
                  <c:v>148875.64300000027</c:v>
                </c:pt>
                <c:pt idx="19">
                  <c:v>154176.701</c:v>
                </c:pt>
                <c:pt idx="20">
                  <c:v>156204.47850000008</c:v>
                </c:pt>
                <c:pt idx="21">
                  <c:v>156278.04149999892</c:v>
                </c:pt>
                <c:pt idx="22">
                  <c:v>156645.85649999799</c:v>
                </c:pt>
                <c:pt idx="23">
                  <c:v>155996.04999999999</c:v>
                </c:pt>
                <c:pt idx="24">
                  <c:v>156363.86500000008</c:v>
                </c:pt>
                <c:pt idx="25">
                  <c:v>155493.36949999849</c:v>
                </c:pt>
                <c:pt idx="26">
                  <c:v>155493.36949999849</c:v>
                </c:pt>
                <c:pt idx="27">
                  <c:v>155493.36949999849</c:v>
                </c:pt>
              </c:numCache>
            </c:numRef>
          </c:val>
          <c:smooth val="0"/>
          <c:extLst xmlns:c16r2="http://schemas.microsoft.com/office/drawing/2015/06/chart">
            <c:ext xmlns:c16="http://schemas.microsoft.com/office/drawing/2014/chart" uri="{C3380CC4-5D6E-409C-BE32-E72D297353CC}">
              <c16:uniqueId val="{00000000-9383-42B2-A5A4-BB9435A5307D}"/>
            </c:ext>
          </c:extLst>
        </c:ser>
        <c:ser>
          <c:idx val="1"/>
          <c:order val="1"/>
          <c:tx>
            <c:v>%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5-2019'!$D$247:$AE$247</c:f>
              <c:numCache>
                <c:formatCode>General</c:formatCode>
                <c:ptCount val="28"/>
                <c:pt idx="0">
                  <c:v>0</c:v>
                </c:pt>
                <c:pt idx="1">
                  <c:v>0</c:v>
                </c:pt>
                <c:pt idx="2">
                  <c:v>3475.5332799999992</c:v>
                </c:pt>
                <c:pt idx="3">
                  <c:v>6117.3687000000009</c:v>
                </c:pt>
                <c:pt idx="4">
                  <c:v>10366.561199999898</c:v>
                </c:pt>
                <c:pt idx="5">
                  <c:v>15339.771750000034</c:v>
                </c:pt>
                <c:pt idx="6">
                  <c:v>25580.527699999955</c:v>
                </c:pt>
                <c:pt idx="7">
                  <c:v>39093.047100000054</c:v>
                </c:pt>
                <c:pt idx="8">
                  <c:v>50588.655000000057</c:v>
                </c:pt>
                <c:pt idx="9">
                  <c:v>67724.356499999907</c:v>
                </c:pt>
                <c:pt idx="10">
                  <c:v>84931.614000000001</c:v>
                </c:pt>
                <c:pt idx="11">
                  <c:v>103361.26449999992</c:v>
                </c:pt>
                <c:pt idx="12">
                  <c:v>118602.3082</c:v>
                </c:pt>
                <c:pt idx="13">
                  <c:v>132292.30699999968</c:v>
                </c:pt>
                <c:pt idx="14">
                  <c:v>143746.842</c:v>
                </c:pt>
                <c:pt idx="15">
                  <c:v>150350.96439999968</c:v>
                </c:pt>
                <c:pt idx="16">
                  <c:v>160812.29779999994</c:v>
                </c:pt>
                <c:pt idx="17">
                  <c:v>168205.41289999997</c:v>
                </c:pt>
                <c:pt idx="18">
                  <c:v>174592.11700000081</c:v>
                </c:pt>
                <c:pt idx="19">
                  <c:v>180809.22019999998</c:v>
                </c:pt>
                <c:pt idx="20">
                  <c:v>183187.32809999882</c:v>
                </c:pt>
                <c:pt idx="21">
                  <c:v>183273.5919</c:v>
                </c:pt>
                <c:pt idx="22">
                  <c:v>183704.91089999996</c:v>
                </c:pt>
                <c:pt idx="23">
                  <c:v>182942.91399999999</c:v>
                </c:pt>
                <c:pt idx="24">
                  <c:v>183374.23300000018</c:v>
                </c:pt>
                <c:pt idx="25">
                  <c:v>182353.44470000008</c:v>
                </c:pt>
                <c:pt idx="26">
                  <c:v>182353.44470000008</c:v>
                </c:pt>
                <c:pt idx="27">
                  <c:v>182353.44470000008</c:v>
                </c:pt>
              </c:numCache>
            </c:numRef>
          </c:val>
          <c:smooth val="0"/>
          <c:extLst xmlns:c16r2="http://schemas.microsoft.com/office/drawing/2015/06/chart">
            <c:ext xmlns:c16="http://schemas.microsoft.com/office/drawing/2014/chart" uri="{C3380CC4-5D6E-409C-BE32-E72D297353CC}">
              <c16:uniqueId val="{00000001-9383-42B2-A5A4-BB9435A5307D}"/>
            </c:ext>
          </c:extLst>
        </c:ser>
        <c:ser>
          <c:idx val="2"/>
          <c:order val="2"/>
          <c:tx>
            <c:v>NKEP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5-2019'!$D$248:$AE$248</c:f>
              <c:numCache>
                <c:formatCode>General</c:formatCode>
                <c:ptCount val="28"/>
                <c:pt idx="0">
                  <c:v>0</c:v>
                </c:pt>
                <c:pt idx="1">
                  <c:v>0</c:v>
                </c:pt>
                <c:pt idx="2">
                  <c:v>8866.854620852997</c:v>
                </c:pt>
                <c:pt idx="3">
                  <c:v>35642.575355330002</c:v>
                </c:pt>
                <c:pt idx="4">
                  <c:v>72942.845318291656</c:v>
                </c:pt>
                <c:pt idx="5">
                  <c:v>138566.523333333</c:v>
                </c:pt>
                <c:pt idx="6">
                  <c:v>188192.23494236311</c:v>
                </c:pt>
                <c:pt idx="7">
                  <c:v>226699.50543430701</c:v>
                </c:pt>
                <c:pt idx="8">
                  <c:v>283536.93874213845</c:v>
                </c:pt>
                <c:pt idx="9">
                  <c:v>319405.70107040991</c:v>
                </c:pt>
                <c:pt idx="10">
                  <c:v>361610.15465053753</c:v>
                </c:pt>
                <c:pt idx="11">
                  <c:v>424404.11359892599</c:v>
                </c:pt>
                <c:pt idx="12">
                  <c:v>477628.02470466099</c:v>
                </c:pt>
                <c:pt idx="13">
                  <c:v>537311.5818759941</c:v>
                </c:pt>
                <c:pt idx="14">
                  <c:v>574291.59846285195</c:v>
                </c:pt>
                <c:pt idx="15">
                  <c:v>623710.52083333442</c:v>
                </c:pt>
                <c:pt idx="16">
                  <c:v>660935.87628865929</c:v>
                </c:pt>
                <c:pt idx="17">
                  <c:v>707311.22635165439</c:v>
                </c:pt>
                <c:pt idx="18">
                  <c:v>753921.76119661145</c:v>
                </c:pt>
                <c:pt idx="19">
                  <c:v>810157.74285236641</c:v>
                </c:pt>
                <c:pt idx="20">
                  <c:v>847145.80589255004</c:v>
                </c:pt>
                <c:pt idx="21">
                  <c:v>894748.93900024705</c:v>
                </c:pt>
                <c:pt idx="22">
                  <c:v>930677.17847445037</c:v>
                </c:pt>
                <c:pt idx="23">
                  <c:v>976126.40495867736</c:v>
                </c:pt>
                <c:pt idx="24">
                  <c:v>1022046.2262984336</c:v>
                </c:pt>
                <c:pt idx="25">
                  <c:v>1077602.041835973</c:v>
                </c:pt>
                <c:pt idx="26">
                  <c:v>1110666.9249999998</c:v>
                </c:pt>
                <c:pt idx="27">
                  <c:v>1110666.9249999998</c:v>
                </c:pt>
              </c:numCache>
            </c:numRef>
          </c:val>
          <c:smooth val="0"/>
          <c:extLst xmlns:c16r2="http://schemas.microsoft.com/office/drawing/2015/06/chart">
            <c:ext xmlns:c16="http://schemas.microsoft.com/office/drawing/2014/chart" uri="{C3380CC4-5D6E-409C-BE32-E72D297353CC}">
              <c16:uniqueId val="{00000002-9383-42B2-A5A4-BB9435A5307D}"/>
            </c:ext>
          </c:extLst>
        </c:ser>
        <c:ser>
          <c:idx val="3"/>
          <c:order val="3"/>
          <c:tx>
            <c:v>NKEP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5-2019'!$D$249:$AE$249</c:f>
              <c:numCache>
                <c:formatCode>General</c:formatCode>
                <c:ptCount val="28"/>
                <c:pt idx="0">
                  <c:v>0</c:v>
                </c:pt>
                <c:pt idx="1">
                  <c:v>0</c:v>
                </c:pt>
                <c:pt idx="2">
                  <c:v>10397.774327014216</c:v>
                </c:pt>
                <c:pt idx="3">
                  <c:v>45796.844011167603</c:v>
                </c:pt>
                <c:pt idx="4">
                  <c:v>91938.748338436679</c:v>
                </c:pt>
                <c:pt idx="5">
                  <c:v>160840.92500717868</c:v>
                </c:pt>
                <c:pt idx="6">
                  <c:v>217600.33299999998</c:v>
                </c:pt>
                <c:pt idx="7">
                  <c:v>276032.31548715528</c:v>
                </c:pt>
                <c:pt idx="8">
                  <c:v>332506.39655345998</c:v>
                </c:pt>
                <c:pt idx="9">
                  <c:v>374572.38429607835</c:v>
                </c:pt>
                <c:pt idx="10">
                  <c:v>428067.98477957264</c:v>
                </c:pt>
                <c:pt idx="11">
                  <c:v>497709.26145572</c:v>
                </c:pt>
                <c:pt idx="12">
                  <c:v>558763.88050990389</c:v>
                </c:pt>
                <c:pt idx="13">
                  <c:v>615303.12400635891</c:v>
                </c:pt>
                <c:pt idx="14">
                  <c:v>682143.06622545444</c:v>
                </c:pt>
                <c:pt idx="15">
                  <c:v>731446.42708333442</c:v>
                </c:pt>
                <c:pt idx="16">
                  <c:v>775102.78762886336</c:v>
                </c:pt>
                <c:pt idx="17">
                  <c:v>829489.6179951583</c:v>
                </c:pt>
                <c:pt idx="18">
                  <c:v>884152.66384229704</c:v>
                </c:pt>
                <c:pt idx="19">
                  <c:v>940104.57983614795</c:v>
                </c:pt>
                <c:pt idx="20">
                  <c:v>993482.24956672429</c:v>
                </c:pt>
                <c:pt idx="21">
                  <c:v>1035853.5269735204</c:v>
                </c:pt>
                <c:pt idx="22">
                  <c:v>1089715.2431498501</c:v>
                </c:pt>
                <c:pt idx="23">
                  <c:v>1144743.1454545446</c:v>
                </c:pt>
                <c:pt idx="24">
                  <c:v>1198594.9748557296</c:v>
                </c:pt>
                <c:pt idx="25">
                  <c:v>1263748.0619039731</c:v>
                </c:pt>
                <c:pt idx="26">
                  <c:v>1290524.605</c:v>
                </c:pt>
                <c:pt idx="27">
                  <c:v>1292524.605</c:v>
                </c:pt>
              </c:numCache>
            </c:numRef>
          </c:val>
          <c:smooth val="0"/>
          <c:extLst xmlns:c16r2="http://schemas.microsoft.com/office/drawing/2015/06/chart">
            <c:ext xmlns:c16="http://schemas.microsoft.com/office/drawing/2014/chart" uri="{C3380CC4-5D6E-409C-BE32-E72D297353CC}">
              <c16:uniqueId val="{00000003-9383-42B2-A5A4-BB9435A5307D}"/>
            </c:ext>
          </c:extLst>
        </c:ser>
        <c:ser>
          <c:idx val="4"/>
          <c:order val="4"/>
          <c:tx>
            <c:v>BIO real.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5-2019'!$D$250:$AE$250</c:f>
              <c:numCache>
                <c:formatCode>General</c:formatCode>
                <c:ptCount val="28"/>
                <c:pt idx="0">
                  <c:v>0</c:v>
                </c:pt>
                <c:pt idx="1">
                  <c:v>0</c:v>
                </c:pt>
                <c:pt idx="2">
                  <c:v>1755.8127962084898</c:v>
                </c:pt>
                <c:pt idx="3">
                  <c:v>5296.0736040609054</c:v>
                </c:pt>
                <c:pt idx="4">
                  <c:v>17808.311845286058</c:v>
                </c:pt>
                <c:pt idx="5">
                  <c:v>26832.499999999982</c:v>
                </c:pt>
                <c:pt idx="6">
                  <c:v>44902.053314121062</c:v>
                </c:pt>
                <c:pt idx="7">
                  <c:v>90121.228710462325</c:v>
                </c:pt>
                <c:pt idx="8">
                  <c:v>180873.27044025171</c:v>
                </c:pt>
                <c:pt idx="9">
                  <c:v>319405.70107040991</c:v>
                </c:pt>
                <c:pt idx="10">
                  <c:v>366610.15465053759</c:v>
                </c:pt>
                <c:pt idx="11">
                  <c:v>424404.11359892599</c:v>
                </c:pt>
                <c:pt idx="12">
                  <c:v>477628.02470466099</c:v>
                </c:pt>
                <c:pt idx="13">
                  <c:v>532311.5818759941</c:v>
                </c:pt>
                <c:pt idx="14">
                  <c:v>574291.59846285195</c:v>
                </c:pt>
                <c:pt idx="15">
                  <c:v>623710.52083333442</c:v>
                </c:pt>
                <c:pt idx="16">
                  <c:v>660935.87628865929</c:v>
                </c:pt>
                <c:pt idx="17">
                  <c:v>707311.22635165439</c:v>
                </c:pt>
                <c:pt idx="18">
                  <c:v>753921.76119661145</c:v>
                </c:pt>
                <c:pt idx="19">
                  <c:v>810157.74285236641</c:v>
                </c:pt>
                <c:pt idx="20">
                  <c:v>847145.80589255004</c:v>
                </c:pt>
                <c:pt idx="21">
                  <c:v>894748.93900024705</c:v>
                </c:pt>
                <c:pt idx="22">
                  <c:v>930677.17847445037</c:v>
                </c:pt>
                <c:pt idx="23">
                  <c:v>976126.40495867736</c:v>
                </c:pt>
                <c:pt idx="24">
                  <c:v>1022046.2262984336</c:v>
                </c:pt>
                <c:pt idx="25">
                  <c:v>1077602.041835973</c:v>
                </c:pt>
                <c:pt idx="26">
                  <c:v>1110666.9249999998</c:v>
                </c:pt>
                <c:pt idx="27">
                  <c:v>1110666.9249999998</c:v>
                </c:pt>
              </c:numCache>
            </c:numRef>
          </c:val>
          <c:smooth val="0"/>
          <c:extLst xmlns:c16r2="http://schemas.microsoft.com/office/drawing/2015/06/chart">
            <c:ext xmlns:c16="http://schemas.microsoft.com/office/drawing/2014/chart" uri="{C3380CC4-5D6E-409C-BE32-E72D297353CC}">
              <c16:uniqueId val="{00000004-9383-42B2-A5A4-BB9435A5307D}"/>
            </c:ext>
          </c:extLst>
        </c:ser>
        <c:ser>
          <c:idx val="5"/>
          <c:order val="5"/>
          <c:tx>
            <c:v>BIO real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5-2019'!$D$251:$AE$251</c:f>
              <c:numCache>
                <c:formatCode>General</c:formatCode>
                <c:ptCount val="28"/>
                <c:pt idx="0">
                  <c:v>0</c:v>
                </c:pt>
                <c:pt idx="1">
                  <c:v>0</c:v>
                </c:pt>
                <c:pt idx="2">
                  <c:v>2058.9652132701367</c:v>
                </c:pt>
                <c:pt idx="3">
                  <c:v>6210.5265989848012</c:v>
                </c:pt>
                <c:pt idx="4">
                  <c:v>20883.48348106397</c:v>
                </c:pt>
                <c:pt idx="5">
                  <c:v>31466.19846153845</c:v>
                </c:pt>
                <c:pt idx="6">
                  <c:v>52656.500000000015</c:v>
                </c:pt>
                <c:pt idx="7">
                  <c:v>105685.44768856437</c:v>
                </c:pt>
                <c:pt idx="8">
                  <c:v>212111.76100628928</c:v>
                </c:pt>
                <c:pt idx="9">
                  <c:v>374572.38429607835</c:v>
                </c:pt>
                <c:pt idx="10">
                  <c:v>431067.98477957264</c:v>
                </c:pt>
                <c:pt idx="11">
                  <c:v>497709.26145572</c:v>
                </c:pt>
                <c:pt idx="12">
                  <c:v>558763.88050990389</c:v>
                </c:pt>
                <c:pt idx="13">
                  <c:v>615303.12400635891</c:v>
                </c:pt>
                <c:pt idx="14">
                  <c:v>682143.06622545444</c:v>
                </c:pt>
                <c:pt idx="15">
                  <c:v>731446.42708333442</c:v>
                </c:pt>
                <c:pt idx="16">
                  <c:v>775102.78762886336</c:v>
                </c:pt>
                <c:pt idx="17">
                  <c:v>829489.6179951583</c:v>
                </c:pt>
                <c:pt idx="18">
                  <c:v>884152.66384229704</c:v>
                </c:pt>
                <c:pt idx="19">
                  <c:v>940104.57983614795</c:v>
                </c:pt>
                <c:pt idx="20">
                  <c:v>993482.24956672429</c:v>
                </c:pt>
                <c:pt idx="21">
                  <c:v>1035853.5269735204</c:v>
                </c:pt>
                <c:pt idx="22">
                  <c:v>1089715.2431498501</c:v>
                </c:pt>
                <c:pt idx="23">
                  <c:v>1144743.1454545446</c:v>
                </c:pt>
                <c:pt idx="24">
                  <c:v>1198594.9748557296</c:v>
                </c:pt>
                <c:pt idx="25">
                  <c:v>1263748.0619039731</c:v>
                </c:pt>
                <c:pt idx="26">
                  <c:v>1292524.605</c:v>
                </c:pt>
                <c:pt idx="27">
                  <c:v>1292524.605</c:v>
                </c:pt>
              </c:numCache>
            </c:numRef>
          </c:val>
          <c:smooth val="0"/>
          <c:extLst xmlns:c16r2="http://schemas.microsoft.com/office/drawing/2015/06/chart">
            <c:ext xmlns:c16="http://schemas.microsoft.com/office/drawing/2014/chart" uri="{C3380CC4-5D6E-409C-BE32-E72D297353CC}">
              <c16:uniqueId val="{00000005-9383-42B2-A5A4-BB9435A5307D}"/>
            </c:ext>
          </c:extLst>
        </c:ser>
        <c:dLbls>
          <c:showLegendKey val="0"/>
          <c:showVal val="0"/>
          <c:showCatName val="0"/>
          <c:showSerName val="0"/>
          <c:showPercent val="0"/>
          <c:showBubbleSize val="0"/>
        </c:dLbls>
        <c:smooth val="0"/>
        <c:axId val="175060800"/>
        <c:axId val="284470528"/>
      </c:lineChart>
      <c:catAx>
        <c:axId val="175060800"/>
        <c:scaling>
          <c:orientation val="minMax"/>
        </c:scaling>
        <c:delete val="0"/>
        <c:axPos val="b"/>
        <c:numFmt formatCode="General" sourceLinked="1"/>
        <c:majorTickMark val="out"/>
        <c:minorTickMark val="none"/>
        <c:tickLblPos val="nextTo"/>
        <c:crossAx val="284470528"/>
        <c:crosses val="autoZero"/>
        <c:auto val="1"/>
        <c:lblAlgn val="ctr"/>
        <c:lblOffset val="100"/>
        <c:tickLblSkip val="3"/>
        <c:noMultiLvlLbl val="0"/>
      </c:catAx>
      <c:valAx>
        <c:axId val="284470528"/>
        <c:scaling>
          <c:orientation val="minMax"/>
        </c:scaling>
        <c:delete val="0"/>
        <c:axPos val="l"/>
        <c:majorGridlines/>
        <c:numFmt formatCode="#,##0" sourceLinked="0"/>
        <c:majorTickMark val="out"/>
        <c:minorTickMark val="none"/>
        <c:tickLblPos val="nextTo"/>
        <c:crossAx val="175060800"/>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5-2019'!$D$252:$AE$252</c:f>
              <c:numCache>
                <c:formatCode>General</c:formatCode>
                <c:ptCount val="28"/>
                <c:pt idx="0">
                  <c:v>0</c:v>
                </c:pt>
                <c:pt idx="1">
                  <c:v>0</c:v>
                </c:pt>
                <c:pt idx="2">
                  <c:v>2932.2850000000117</c:v>
                </c:pt>
                <c:pt idx="3">
                  <c:v>5114.16975000001</c:v>
                </c:pt>
                <c:pt idx="4">
                  <c:v>8580.8240000000442</c:v>
                </c:pt>
                <c:pt idx="5">
                  <c:v>12686.756249999959</c:v>
                </c:pt>
                <c:pt idx="6">
                  <c:v>20967.443000000021</c:v>
                </c:pt>
                <c:pt idx="7">
                  <c:v>31751.610749999843</c:v>
                </c:pt>
                <c:pt idx="8">
                  <c:v>40826.294999999962</c:v>
                </c:pt>
                <c:pt idx="9">
                  <c:v>53183.457250000043</c:v>
                </c:pt>
                <c:pt idx="10">
                  <c:v>70023.264999999708</c:v>
                </c:pt>
                <c:pt idx="11">
                  <c:v>82638.858250000092</c:v>
                </c:pt>
                <c:pt idx="12">
                  <c:v>96570.646999999808</c:v>
                </c:pt>
                <c:pt idx="13">
                  <c:v>105266.95549999992</c:v>
                </c:pt>
                <c:pt idx="14">
                  <c:v>110393.96899999994</c:v>
                </c:pt>
                <c:pt idx="15">
                  <c:v>116690.52499999998</c:v>
                </c:pt>
                <c:pt idx="16">
                  <c:v>123884.49500000023</c:v>
                </c:pt>
                <c:pt idx="17">
                  <c:v>128349.44149999994</c:v>
                </c:pt>
                <c:pt idx="18">
                  <c:v>132691.78300000008</c:v>
                </c:pt>
                <c:pt idx="19">
                  <c:v>136779.05149999843</c:v>
                </c:pt>
                <c:pt idx="20">
                  <c:v>138218.32499999864</c:v>
                </c:pt>
                <c:pt idx="21">
                  <c:v>137445.9135</c:v>
                </c:pt>
                <c:pt idx="22">
                  <c:v>137041.31699999998</c:v>
                </c:pt>
                <c:pt idx="23">
                  <c:v>135288.06550000008</c:v>
                </c:pt>
                <c:pt idx="24">
                  <c:v>134515.65399999978</c:v>
                </c:pt>
                <c:pt idx="25">
                  <c:v>133130.21749999997</c:v>
                </c:pt>
                <c:pt idx="26">
                  <c:v>132725.62100000022</c:v>
                </c:pt>
                <c:pt idx="27">
                  <c:v>132321.02449999822</c:v>
                </c:pt>
              </c:numCache>
            </c:numRef>
          </c:val>
          <c:smooth val="0"/>
          <c:extLst xmlns:c16r2="http://schemas.microsoft.com/office/drawing/2015/06/chart">
            <c:ext xmlns:c16="http://schemas.microsoft.com/office/drawing/2014/chart" uri="{C3380CC4-5D6E-409C-BE32-E72D297353CC}">
              <c16:uniqueId val="{00000000-652A-46F8-ABA3-8F0DC332B283}"/>
            </c:ext>
          </c:extLst>
        </c:ser>
        <c:ser>
          <c:idx val="1"/>
          <c:order val="1"/>
          <c:tx>
            <c:v>%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5-2019'!$D$253:$AE$253</c:f>
              <c:numCache>
                <c:formatCode>General</c:formatCode>
                <c:ptCount val="28"/>
                <c:pt idx="0">
                  <c:v>0</c:v>
                </c:pt>
                <c:pt idx="1">
                  <c:v>0</c:v>
                </c:pt>
                <c:pt idx="2">
                  <c:v>3438.5630800000117</c:v>
                </c:pt>
                <c:pt idx="3">
                  <c:v>5997.2155500000099</c:v>
                </c:pt>
                <c:pt idx="4">
                  <c:v>10062.584000000044</c:v>
                </c:pt>
                <c:pt idx="5">
                  <c:v>14877.644250000048</c:v>
                </c:pt>
                <c:pt idx="6">
                  <c:v>24588.494000000021</c:v>
                </c:pt>
                <c:pt idx="7">
                  <c:v>37235.294550000028</c:v>
                </c:pt>
                <c:pt idx="8">
                  <c:v>47877.507000000005</c:v>
                </c:pt>
                <c:pt idx="9">
                  <c:v>62369.310850000213</c:v>
                </c:pt>
                <c:pt idx="10">
                  <c:v>78603.672999999893</c:v>
                </c:pt>
                <c:pt idx="11">
                  <c:v>98913.045450000107</c:v>
                </c:pt>
                <c:pt idx="12">
                  <c:v>111597.18072000048</c:v>
                </c:pt>
                <c:pt idx="13">
                  <c:v>123450.26749999993</c:v>
                </c:pt>
                <c:pt idx="14">
                  <c:v>129463.1618</c:v>
                </c:pt>
                <c:pt idx="15">
                  <c:v>136847.75299999997</c:v>
                </c:pt>
                <c:pt idx="16">
                  <c:v>145284.81380000024</c:v>
                </c:pt>
                <c:pt idx="17">
                  <c:v>150521.33389999968</c:v>
                </c:pt>
                <c:pt idx="18">
                  <c:v>155614.08099999998</c:v>
                </c:pt>
                <c:pt idx="19">
                  <c:v>160407.8314999984</c:v>
                </c:pt>
                <c:pt idx="20">
                  <c:v>162095.82899999968</c:v>
                </c:pt>
                <c:pt idx="21">
                  <c:v>161190.05909999867</c:v>
                </c:pt>
                <c:pt idx="22">
                  <c:v>160715.60819999999</c:v>
                </c:pt>
                <c:pt idx="23">
                  <c:v>158659.65430000008</c:v>
                </c:pt>
                <c:pt idx="24">
                  <c:v>157753.8843999985</c:v>
                </c:pt>
                <c:pt idx="25">
                  <c:v>157753.8843999985</c:v>
                </c:pt>
                <c:pt idx="26">
                  <c:v>157753.8843999985</c:v>
                </c:pt>
                <c:pt idx="27">
                  <c:v>157753.8843999985</c:v>
                </c:pt>
              </c:numCache>
            </c:numRef>
          </c:val>
          <c:smooth val="0"/>
          <c:extLst xmlns:c16r2="http://schemas.microsoft.com/office/drawing/2015/06/chart">
            <c:ext xmlns:c16="http://schemas.microsoft.com/office/drawing/2014/chart" uri="{C3380CC4-5D6E-409C-BE32-E72D297353CC}">
              <c16:uniqueId val="{00000001-652A-46F8-ABA3-8F0DC332B283}"/>
            </c:ext>
          </c:extLst>
        </c:ser>
        <c:ser>
          <c:idx val="2"/>
          <c:order val="2"/>
          <c:tx>
            <c:v>NKEP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5-2019'!$D$254:$AE$254</c:f>
              <c:numCache>
                <c:formatCode>General</c:formatCode>
                <c:ptCount val="28"/>
                <c:pt idx="0">
                  <c:v>0</c:v>
                </c:pt>
                <c:pt idx="1">
                  <c:v>0</c:v>
                </c:pt>
                <c:pt idx="2">
                  <c:v>8867.0893712574471</c:v>
                </c:pt>
                <c:pt idx="3">
                  <c:v>35648.226222164674</c:v>
                </c:pt>
                <c:pt idx="4">
                  <c:v>71979.76558139539</c:v>
                </c:pt>
                <c:pt idx="5">
                  <c:v>138659.65518518499</c:v>
                </c:pt>
                <c:pt idx="6">
                  <c:v>178426.82499999867</c:v>
                </c:pt>
                <c:pt idx="7">
                  <c:v>237072.43406408298</c:v>
                </c:pt>
                <c:pt idx="8">
                  <c:v>284062.58340878831</c:v>
                </c:pt>
                <c:pt idx="9">
                  <c:v>320043.50930105522</c:v>
                </c:pt>
                <c:pt idx="10">
                  <c:v>372472.60106209089</c:v>
                </c:pt>
                <c:pt idx="11">
                  <c:v>425592.27034921799</c:v>
                </c:pt>
                <c:pt idx="12">
                  <c:v>489719.51574159501</c:v>
                </c:pt>
                <c:pt idx="13">
                  <c:v>539139.58185813704</c:v>
                </c:pt>
                <c:pt idx="14">
                  <c:v>587509.24166472442</c:v>
                </c:pt>
                <c:pt idx="15">
                  <c:v>626279.06077348068</c:v>
                </c:pt>
                <c:pt idx="16">
                  <c:v>664358.97810218937</c:v>
                </c:pt>
                <c:pt idx="17">
                  <c:v>711399.70598609291</c:v>
                </c:pt>
                <c:pt idx="18">
                  <c:v>758534.77357016655</c:v>
                </c:pt>
                <c:pt idx="19">
                  <c:v>811473.81011097389</c:v>
                </c:pt>
                <c:pt idx="20">
                  <c:v>852856.19718309829</c:v>
                </c:pt>
                <c:pt idx="21">
                  <c:v>886956.54930575192</c:v>
                </c:pt>
                <c:pt idx="22">
                  <c:v>927483.93973848736</c:v>
                </c:pt>
                <c:pt idx="23">
                  <c:v>966998.24540629995</c:v>
                </c:pt>
                <c:pt idx="24">
                  <c:v>987344.64233667997</c:v>
                </c:pt>
                <c:pt idx="25">
                  <c:v>999582.25591902738</c:v>
                </c:pt>
                <c:pt idx="26">
                  <c:v>999335.79426583019</c:v>
                </c:pt>
                <c:pt idx="27">
                  <c:v>999201.90912048868</c:v>
                </c:pt>
              </c:numCache>
            </c:numRef>
          </c:val>
          <c:smooth val="0"/>
          <c:extLst xmlns:c16r2="http://schemas.microsoft.com/office/drawing/2015/06/chart">
            <c:ext xmlns:c16="http://schemas.microsoft.com/office/drawing/2014/chart" uri="{C3380CC4-5D6E-409C-BE32-E72D297353CC}">
              <c16:uniqueId val="{00000002-652A-46F8-ABA3-8F0DC332B283}"/>
            </c:ext>
          </c:extLst>
        </c:ser>
        <c:ser>
          <c:idx val="3"/>
          <c:order val="3"/>
          <c:tx>
            <c:v>NKEP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5-2019'!$D$255:$AE$255</c:f>
              <c:numCache>
                <c:formatCode>General</c:formatCode>
                <c:ptCount val="28"/>
                <c:pt idx="0">
                  <c:v>0</c:v>
                </c:pt>
                <c:pt idx="1">
                  <c:v>0</c:v>
                </c:pt>
                <c:pt idx="2">
                  <c:v>10398.050032335292</c:v>
                </c:pt>
                <c:pt idx="3">
                  <c:v>41803.480736923892</c:v>
                </c:pt>
                <c:pt idx="4">
                  <c:v>89182.109767442424</c:v>
                </c:pt>
                <c:pt idx="5">
                  <c:v>154950.304785185</c:v>
                </c:pt>
                <c:pt idx="6">
                  <c:v>217875.84999999998</c:v>
                </c:pt>
                <c:pt idx="7">
                  <c:v>276470.305819417</c:v>
                </c:pt>
                <c:pt idx="8">
                  <c:v>333123.74599733559</c:v>
                </c:pt>
                <c:pt idx="9">
                  <c:v>375321.46553188498</c:v>
                </c:pt>
                <c:pt idx="10">
                  <c:v>438084.70079738589</c:v>
                </c:pt>
                <c:pt idx="11">
                  <c:v>510104.70586060185</c:v>
                </c:pt>
                <c:pt idx="12">
                  <c:v>581220.25629082241</c:v>
                </c:pt>
                <c:pt idx="13">
                  <c:v>637450.03967769502</c:v>
                </c:pt>
                <c:pt idx="14">
                  <c:v>688721.57321053802</c:v>
                </c:pt>
                <c:pt idx="15">
                  <c:v>734463.07845303905</c:v>
                </c:pt>
                <c:pt idx="16">
                  <c:v>779123.08905109437</c:v>
                </c:pt>
                <c:pt idx="17">
                  <c:v>834291.38007658976</c:v>
                </c:pt>
                <c:pt idx="18">
                  <c:v>889570.46945149405</c:v>
                </c:pt>
                <c:pt idx="19">
                  <c:v>952348.096367258</c:v>
                </c:pt>
                <c:pt idx="20">
                  <c:v>1000188.8845070424</c:v>
                </c:pt>
                <c:pt idx="21">
                  <c:v>1046144.1265230899</c:v>
                </c:pt>
                <c:pt idx="22">
                  <c:v>1087709.522455941</c:v>
                </c:pt>
                <c:pt idx="23">
                  <c:v>1120961.4758433399</c:v>
                </c:pt>
                <c:pt idx="24">
                  <c:v>1151368.3057151099</c:v>
                </c:pt>
                <c:pt idx="25">
                  <c:v>1166265.9991159008</c:v>
                </c:pt>
                <c:pt idx="26">
                  <c:v>1171977.2762654382</c:v>
                </c:pt>
                <c:pt idx="27">
                  <c:v>1171820.5800305093</c:v>
                </c:pt>
              </c:numCache>
            </c:numRef>
          </c:val>
          <c:smooth val="0"/>
          <c:extLst xmlns:c16r2="http://schemas.microsoft.com/office/drawing/2015/06/chart">
            <c:ext xmlns:c16="http://schemas.microsoft.com/office/drawing/2014/chart" uri="{C3380CC4-5D6E-409C-BE32-E72D297353CC}">
              <c16:uniqueId val="{00000003-652A-46F8-ABA3-8F0DC332B283}"/>
            </c:ext>
          </c:extLst>
        </c:ser>
        <c:ser>
          <c:idx val="4"/>
          <c:order val="4"/>
          <c:tx>
            <c:v>BIO real. K.O.</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5-2019'!$D$256:$AE$256</c:f>
              <c:numCache>
                <c:formatCode>General</c:formatCode>
                <c:ptCount val="28"/>
                <c:pt idx="0">
                  <c:v>0</c:v>
                </c:pt>
                <c:pt idx="1">
                  <c:v>0</c:v>
                </c:pt>
                <c:pt idx="2">
                  <c:v>1755.8592814371236</c:v>
                </c:pt>
                <c:pt idx="3">
                  <c:v>5296.9132573796105</c:v>
                </c:pt>
                <c:pt idx="4">
                  <c:v>17817.325581395296</c:v>
                </c:pt>
                <c:pt idx="5">
                  <c:v>26850.277777777716</c:v>
                </c:pt>
                <c:pt idx="6">
                  <c:v>44948.214285714224</c:v>
                </c:pt>
                <c:pt idx="7">
                  <c:v>90252.155282681764</c:v>
                </c:pt>
                <c:pt idx="8">
                  <c:v>181208.5885486019</c:v>
                </c:pt>
                <c:pt idx="9">
                  <c:v>320043.50930105522</c:v>
                </c:pt>
                <c:pt idx="10">
                  <c:v>372472.60106209089</c:v>
                </c:pt>
                <c:pt idx="11">
                  <c:v>425592.27034921799</c:v>
                </c:pt>
                <c:pt idx="12">
                  <c:v>489719.51574159501</c:v>
                </c:pt>
                <c:pt idx="13">
                  <c:v>539139.58185813704</c:v>
                </c:pt>
                <c:pt idx="14">
                  <c:v>587509.24166472442</c:v>
                </c:pt>
                <c:pt idx="15">
                  <c:v>626279.06077348068</c:v>
                </c:pt>
                <c:pt idx="16">
                  <c:v>664358.97810218937</c:v>
                </c:pt>
                <c:pt idx="17">
                  <c:v>711399.70598609291</c:v>
                </c:pt>
                <c:pt idx="18">
                  <c:v>758534.77357016655</c:v>
                </c:pt>
                <c:pt idx="19">
                  <c:v>811473.81011097389</c:v>
                </c:pt>
                <c:pt idx="20">
                  <c:v>852856.19718309829</c:v>
                </c:pt>
                <c:pt idx="21">
                  <c:v>886956.54930575192</c:v>
                </c:pt>
                <c:pt idx="22">
                  <c:v>927483.93973848736</c:v>
                </c:pt>
                <c:pt idx="23">
                  <c:v>966998.25</c:v>
                </c:pt>
                <c:pt idx="24">
                  <c:v>987344.64199999999</c:v>
                </c:pt>
                <c:pt idx="25">
                  <c:v>999582.25600000005</c:v>
                </c:pt>
                <c:pt idx="26">
                  <c:v>999335.78999999259</c:v>
                </c:pt>
                <c:pt idx="27">
                  <c:v>999201.91</c:v>
                </c:pt>
              </c:numCache>
            </c:numRef>
          </c:val>
          <c:smooth val="0"/>
          <c:extLst xmlns:c16r2="http://schemas.microsoft.com/office/drawing/2015/06/chart">
            <c:ext xmlns:c16="http://schemas.microsoft.com/office/drawing/2014/chart" uri="{C3380CC4-5D6E-409C-BE32-E72D297353CC}">
              <c16:uniqueId val="{00000004-652A-46F8-ABA3-8F0DC332B283}"/>
            </c:ext>
          </c:extLst>
        </c:ser>
        <c:ser>
          <c:idx val="5"/>
          <c:order val="5"/>
          <c:tx>
            <c:v>BIO real. S.M.</c:v>
          </c:tx>
          <c:marker>
            <c:symbol val="none"/>
          </c:marker>
          <c:cat>
            <c:numRef>
              <c:f>'[ČPS2222222222 - varianta Vopt_Vreal_BAU - 27.5.2019 - No.xls]emise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No.xls]emise 5-2019'!$D$257:$AE$257</c:f>
              <c:numCache>
                <c:formatCode>General</c:formatCode>
                <c:ptCount val="28"/>
                <c:pt idx="0">
                  <c:v>0</c:v>
                </c:pt>
                <c:pt idx="1">
                  <c:v>0</c:v>
                </c:pt>
                <c:pt idx="2">
                  <c:v>2059.0198083832315</c:v>
                </c:pt>
                <c:pt idx="3">
                  <c:v>6211.5127395132668</c:v>
                </c:pt>
                <c:pt idx="4">
                  <c:v>20894.069767441852</c:v>
                </c:pt>
                <c:pt idx="5">
                  <c:v>31487.077777777697</c:v>
                </c:pt>
                <c:pt idx="6">
                  <c:v>52710.714285714224</c:v>
                </c:pt>
                <c:pt idx="7">
                  <c:v>105839.21591199798</c:v>
                </c:pt>
                <c:pt idx="8">
                  <c:v>212505.57922769643</c:v>
                </c:pt>
                <c:pt idx="9">
                  <c:v>375321.46553188498</c:v>
                </c:pt>
                <c:pt idx="10">
                  <c:v>438084.70079738589</c:v>
                </c:pt>
                <c:pt idx="11">
                  <c:v>510104.70586060185</c:v>
                </c:pt>
                <c:pt idx="12">
                  <c:v>581220.25629082241</c:v>
                </c:pt>
                <c:pt idx="13">
                  <c:v>637450.03967769502</c:v>
                </c:pt>
                <c:pt idx="14">
                  <c:v>688721.57321053802</c:v>
                </c:pt>
                <c:pt idx="15">
                  <c:v>734463.07845303905</c:v>
                </c:pt>
                <c:pt idx="16">
                  <c:v>779123.08905109437</c:v>
                </c:pt>
                <c:pt idx="17">
                  <c:v>834291.38007658976</c:v>
                </c:pt>
                <c:pt idx="18">
                  <c:v>889570.46945149405</c:v>
                </c:pt>
                <c:pt idx="19">
                  <c:v>952348.096367258</c:v>
                </c:pt>
                <c:pt idx="20">
                  <c:v>1000188.8845070424</c:v>
                </c:pt>
                <c:pt idx="21">
                  <c:v>1046144.1265230899</c:v>
                </c:pt>
                <c:pt idx="22">
                  <c:v>1087709.522455941</c:v>
                </c:pt>
                <c:pt idx="23">
                  <c:v>1120961.5</c:v>
                </c:pt>
                <c:pt idx="24">
                  <c:v>1151368.31</c:v>
                </c:pt>
                <c:pt idx="25">
                  <c:v>1166266</c:v>
                </c:pt>
                <c:pt idx="26">
                  <c:v>1171977.3</c:v>
                </c:pt>
                <c:pt idx="27">
                  <c:v>1171820.6000000001</c:v>
                </c:pt>
              </c:numCache>
            </c:numRef>
          </c:val>
          <c:smooth val="0"/>
          <c:extLst xmlns:c16r2="http://schemas.microsoft.com/office/drawing/2015/06/chart">
            <c:ext xmlns:c16="http://schemas.microsoft.com/office/drawing/2014/chart" uri="{C3380CC4-5D6E-409C-BE32-E72D297353CC}">
              <c16:uniqueId val="{00000005-652A-46F8-ABA3-8F0DC332B283}"/>
            </c:ext>
          </c:extLst>
        </c:ser>
        <c:dLbls>
          <c:showLegendKey val="0"/>
          <c:showVal val="0"/>
          <c:showCatName val="0"/>
          <c:showSerName val="0"/>
          <c:showPercent val="0"/>
          <c:showBubbleSize val="0"/>
        </c:dLbls>
        <c:smooth val="0"/>
        <c:axId val="284471312"/>
        <c:axId val="284471704"/>
      </c:lineChart>
      <c:catAx>
        <c:axId val="284471312"/>
        <c:scaling>
          <c:orientation val="minMax"/>
        </c:scaling>
        <c:delete val="0"/>
        <c:axPos val="b"/>
        <c:numFmt formatCode="General" sourceLinked="1"/>
        <c:majorTickMark val="out"/>
        <c:minorTickMark val="none"/>
        <c:tickLblPos val="nextTo"/>
        <c:crossAx val="284471704"/>
        <c:crosses val="autoZero"/>
        <c:auto val="1"/>
        <c:lblAlgn val="ctr"/>
        <c:lblOffset val="100"/>
        <c:tickLblSkip val="3"/>
        <c:noMultiLvlLbl val="0"/>
      </c:catAx>
      <c:valAx>
        <c:axId val="284471704"/>
        <c:scaling>
          <c:orientation val="minMax"/>
        </c:scaling>
        <c:delete val="0"/>
        <c:axPos val="l"/>
        <c:majorGridlines/>
        <c:numFmt formatCode="#,##0" sourceLinked="0"/>
        <c:majorTickMark val="out"/>
        <c:minorTickMark val="none"/>
        <c:tickLblPos val="nextTo"/>
        <c:crossAx val="284471312"/>
        <c:crosses val="autoZero"/>
        <c:crossBetween val="between"/>
      </c:valAx>
      <c:spPr>
        <a:ln>
          <a:solidFill>
            <a:schemeClr val="tx1"/>
          </a:solidFill>
        </a:ln>
      </c:spPr>
    </c:plotArea>
    <c:legend>
      <c:legendPos val="r"/>
      <c:layout/>
      <c:overlay val="0"/>
    </c:legend>
    <c:plotVisOnly val="1"/>
    <c:dispBlanksAs val="gap"/>
    <c:showDLblsOverMax val="0"/>
  </c:chart>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 K.O.</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5-2019'!$D$258:$AE$258</c:f>
              <c:numCache>
                <c:formatCode>General</c:formatCode>
                <c:ptCount val="28"/>
                <c:pt idx="0">
                  <c:v>0</c:v>
                </c:pt>
                <c:pt idx="1">
                  <c:v>0</c:v>
                </c:pt>
                <c:pt idx="2">
                  <c:v>2753.5634999999793</c:v>
                </c:pt>
                <c:pt idx="3">
                  <c:v>4510.4452499999834</c:v>
                </c:pt>
                <c:pt idx="4">
                  <c:v>6838.5020000000004</c:v>
                </c:pt>
                <c:pt idx="5">
                  <c:v>9743.4774999999554</c:v>
                </c:pt>
                <c:pt idx="6">
                  <c:v>16254.684250000058</c:v>
                </c:pt>
                <c:pt idx="7">
                  <c:v>23303.367587500001</c:v>
                </c:pt>
                <c:pt idx="8">
                  <c:v>28141.44225</c:v>
                </c:pt>
                <c:pt idx="9">
                  <c:v>37175.497249999898</c:v>
                </c:pt>
                <c:pt idx="10">
                  <c:v>42183.15</c:v>
                </c:pt>
                <c:pt idx="11">
                  <c:v>51040.765749999984</c:v>
                </c:pt>
                <c:pt idx="12">
                  <c:v>56328.187000000005</c:v>
                </c:pt>
                <c:pt idx="13">
                  <c:v>58213.340500000013</c:v>
                </c:pt>
                <c:pt idx="14">
                  <c:v>59492.196049999999</c:v>
                </c:pt>
                <c:pt idx="15">
                  <c:v>60719.277499999989</c:v>
                </c:pt>
                <c:pt idx="16">
                  <c:v>61805.503200000101</c:v>
                </c:pt>
                <c:pt idx="17">
                  <c:v>62943.222999999867</c:v>
                </c:pt>
                <c:pt idx="18">
                  <c:v>62082.590500000006</c:v>
                </c:pt>
                <c:pt idx="19">
                  <c:v>60608.933000000005</c:v>
                </c:pt>
                <c:pt idx="20">
                  <c:v>59405.006500000112</c:v>
                </c:pt>
                <c:pt idx="21">
                  <c:v>58164.298499999844</c:v>
                </c:pt>
                <c:pt idx="22">
                  <c:v>56960.372000000003</c:v>
                </c:pt>
                <c:pt idx="23">
                  <c:v>52990.640499999943</c:v>
                </c:pt>
                <c:pt idx="24">
                  <c:v>49697.633999999962</c:v>
                </c:pt>
                <c:pt idx="25">
                  <c:v>46220.72</c:v>
                </c:pt>
                <c:pt idx="26">
                  <c:v>42005.778499999993</c:v>
                </c:pt>
                <c:pt idx="27">
                  <c:v>40372.734500000028</c:v>
                </c:pt>
              </c:numCache>
            </c:numRef>
          </c:val>
          <c:smooth val="0"/>
          <c:extLst xmlns:c16r2="http://schemas.microsoft.com/office/drawing/2015/06/chart">
            <c:ext xmlns:c16="http://schemas.microsoft.com/office/drawing/2014/chart" uri="{C3380CC4-5D6E-409C-BE32-E72D297353CC}">
              <c16:uniqueId val="{00000000-9B73-42FF-A3CF-16AE2BAE2737}"/>
            </c:ext>
          </c:extLst>
        </c:ser>
        <c:ser>
          <c:idx val="1"/>
          <c:order val="1"/>
          <c:tx>
            <c:v>% S.M.</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5-2019'!$D$259:$AE$259</c:f>
              <c:numCache>
                <c:formatCode>General</c:formatCode>
                <c:ptCount val="28"/>
                <c:pt idx="0">
                  <c:v>0</c:v>
                </c:pt>
                <c:pt idx="1">
                  <c:v>0</c:v>
                </c:pt>
                <c:pt idx="2">
                  <c:v>3228.9816599999795</c:v>
                </c:pt>
                <c:pt idx="3">
                  <c:v>5289.2197499999802</c:v>
                </c:pt>
                <c:pt idx="4">
                  <c:v>8019.2984000000006</c:v>
                </c:pt>
                <c:pt idx="5">
                  <c:v>11425.955499999953</c:v>
                </c:pt>
                <c:pt idx="6">
                  <c:v>19061.693350000016</c:v>
                </c:pt>
                <c:pt idx="7">
                  <c:v>29673.304627500042</c:v>
                </c:pt>
                <c:pt idx="8">
                  <c:v>35692.750250000012</c:v>
                </c:pt>
                <c:pt idx="9">
                  <c:v>43568.837850000011</c:v>
                </c:pt>
                <c:pt idx="10">
                  <c:v>51934.720399999896</c:v>
                </c:pt>
                <c:pt idx="11">
                  <c:v>59856.481750000035</c:v>
                </c:pt>
                <c:pt idx="12">
                  <c:v>66730.048199999903</c:v>
                </c:pt>
                <c:pt idx="13">
                  <c:v>68268.14049999998</c:v>
                </c:pt>
                <c:pt idx="14">
                  <c:v>69967.952925999998</c:v>
                </c:pt>
                <c:pt idx="15">
                  <c:v>71206.963099999979</c:v>
                </c:pt>
                <c:pt idx="16">
                  <c:v>72480.843120000092</c:v>
                </c:pt>
                <c:pt idx="17">
                  <c:v>73815.107799999867</c:v>
                </c:pt>
                <c:pt idx="18">
                  <c:v>72805.770100000023</c:v>
                </c:pt>
                <c:pt idx="19">
                  <c:v>71077.567399999971</c:v>
                </c:pt>
                <c:pt idx="20">
                  <c:v>69665.665300000124</c:v>
                </c:pt>
                <c:pt idx="21">
                  <c:v>68210.631299999863</c:v>
                </c:pt>
                <c:pt idx="22">
                  <c:v>66798.729199999987</c:v>
                </c:pt>
                <c:pt idx="23">
                  <c:v>62143.154500000011</c:v>
                </c:pt>
                <c:pt idx="24">
                  <c:v>58281.258000000002</c:v>
                </c:pt>
                <c:pt idx="25">
                  <c:v>54203.702000000005</c:v>
                </c:pt>
                <c:pt idx="26">
                  <c:v>49260.581300000005</c:v>
                </c:pt>
                <c:pt idx="27">
                  <c:v>47345.473700000024</c:v>
                </c:pt>
              </c:numCache>
            </c:numRef>
          </c:val>
          <c:smooth val="0"/>
          <c:extLst xmlns:c16r2="http://schemas.microsoft.com/office/drawing/2015/06/chart">
            <c:ext xmlns:c16="http://schemas.microsoft.com/office/drawing/2014/chart" uri="{C3380CC4-5D6E-409C-BE32-E72D297353CC}">
              <c16:uniqueId val="{00000001-9B73-42FF-A3CF-16AE2BAE2737}"/>
            </c:ext>
          </c:extLst>
        </c:ser>
        <c:ser>
          <c:idx val="2"/>
          <c:order val="2"/>
          <c:tx>
            <c:v>NKEP K.O.</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5-2019'!$D$260:$AE$260</c:f>
              <c:numCache>
                <c:formatCode>General</c:formatCode>
                <c:ptCount val="28"/>
                <c:pt idx="0">
                  <c:v>0</c:v>
                </c:pt>
                <c:pt idx="1">
                  <c:v>0</c:v>
                </c:pt>
                <c:pt idx="2">
                  <c:v>8862.6486137667071</c:v>
                </c:pt>
                <c:pt idx="3">
                  <c:v>35524.045093621957</c:v>
                </c:pt>
                <c:pt idx="4">
                  <c:v>78415.988086866579</c:v>
                </c:pt>
                <c:pt idx="5">
                  <c:v>139588.41603463993</c:v>
                </c:pt>
                <c:pt idx="6">
                  <c:v>212202.55613207421</c:v>
                </c:pt>
                <c:pt idx="7">
                  <c:v>256503.85045752765</c:v>
                </c:pt>
                <c:pt idx="8">
                  <c:v>288389.3768169292</c:v>
                </c:pt>
                <c:pt idx="9">
                  <c:v>318433.06524302211</c:v>
                </c:pt>
                <c:pt idx="10">
                  <c:v>350753.56388349528</c:v>
                </c:pt>
                <c:pt idx="11">
                  <c:v>382621.27500000002</c:v>
                </c:pt>
                <c:pt idx="12">
                  <c:v>409487.05</c:v>
                </c:pt>
                <c:pt idx="13">
                  <c:v>425809.57500000001</c:v>
                </c:pt>
                <c:pt idx="14">
                  <c:v>434679.76150000002</c:v>
                </c:pt>
                <c:pt idx="15">
                  <c:v>443709.125</c:v>
                </c:pt>
                <c:pt idx="16">
                  <c:v>448467.88</c:v>
                </c:pt>
                <c:pt idx="17">
                  <c:v>449594.44999999995</c:v>
                </c:pt>
                <c:pt idx="18">
                  <c:v>443447.07500000007</c:v>
                </c:pt>
                <c:pt idx="19">
                  <c:v>432920.94999999995</c:v>
                </c:pt>
                <c:pt idx="20">
                  <c:v>424321.47500000021</c:v>
                </c:pt>
                <c:pt idx="21">
                  <c:v>415459.27499999991</c:v>
                </c:pt>
                <c:pt idx="22">
                  <c:v>396859.8</c:v>
                </c:pt>
                <c:pt idx="23">
                  <c:v>378504.57499999995</c:v>
                </c:pt>
                <c:pt idx="24">
                  <c:v>354983.1</c:v>
                </c:pt>
                <c:pt idx="25">
                  <c:v>330148</c:v>
                </c:pt>
                <c:pt idx="26">
                  <c:v>309041.27500000002</c:v>
                </c:pt>
                <c:pt idx="27">
                  <c:v>288376.67499999999</c:v>
                </c:pt>
              </c:numCache>
            </c:numRef>
          </c:val>
          <c:smooth val="0"/>
          <c:extLst xmlns:c16r2="http://schemas.microsoft.com/office/drawing/2015/06/chart">
            <c:ext xmlns:c16="http://schemas.microsoft.com/office/drawing/2014/chart" uri="{C3380CC4-5D6E-409C-BE32-E72D297353CC}">
              <c16:uniqueId val="{00000002-9B73-42FF-A3CF-16AE2BAE2737}"/>
            </c:ext>
          </c:extLst>
        </c:ser>
        <c:ser>
          <c:idx val="3"/>
          <c:order val="3"/>
          <c:tx>
            <c:v>NKEP S.M.</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5-2019'!$D$261:$AE$261</c:f>
              <c:numCache>
                <c:formatCode>General</c:formatCode>
                <c:ptCount val="28"/>
                <c:pt idx="0">
                  <c:v>0</c:v>
                </c:pt>
                <c:pt idx="1">
                  <c:v>0</c:v>
                </c:pt>
                <c:pt idx="2">
                  <c:v>10392.834533460749</c:v>
                </c:pt>
                <c:pt idx="3">
                  <c:v>41657.634777647705</c:v>
                </c:pt>
                <c:pt idx="4">
                  <c:v>94719.974783867598</c:v>
                </c:pt>
                <c:pt idx="5">
                  <c:v>167692.17560437601</c:v>
                </c:pt>
                <c:pt idx="6">
                  <c:v>236437.99330188747</c:v>
                </c:pt>
                <c:pt idx="7">
                  <c:v>291802.52624211798</c:v>
                </c:pt>
                <c:pt idx="8">
                  <c:v>338333.30494291399</c:v>
                </c:pt>
                <c:pt idx="9">
                  <c:v>373430.06092587986</c:v>
                </c:pt>
                <c:pt idx="10">
                  <c:v>413009.14759562985</c:v>
                </c:pt>
                <c:pt idx="11">
                  <c:v>442434.47499999998</c:v>
                </c:pt>
                <c:pt idx="12">
                  <c:v>470214.63</c:v>
                </c:pt>
                <c:pt idx="13">
                  <c:v>491629.57500000001</c:v>
                </c:pt>
                <c:pt idx="14">
                  <c:v>501678.02490000002</c:v>
                </c:pt>
                <c:pt idx="15">
                  <c:v>512221.16499999986</c:v>
                </c:pt>
                <c:pt idx="16">
                  <c:v>521020.30799999984</c:v>
                </c:pt>
                <c:pt idx="17">
                  <c:v>526250.76999999897</c:v>
                </c:pt>
                <c:pt idx="18">
                  <c:v>522041.21500000008</c:v>
                </c:pt>
                <c:pt idx="19">
                  <c:v>514696.91000000021</c:v>
                </c:pt>
                <c:pt idx="20">
                  <c:v>502611.89500000002</c:v>
                </c:pt>
                <c:pt idx="21">
                  <c:v>487218.79499999998</c:v>
                </c:pt>
                <c:pt idx="22">
                  <c:v>467133.78</c:v>
                </c:pt>
                <c:pt idx="23">
                  <c:v>443879.67499999993</c:v>
                </c:pt>
                <c:pt idx="24">
                  <c:v>416294.69999999995</c:v>
                </c:pt>
                <c:pt idx="25">
                  <c:v>387169.3</c:v>
                </c:pt>
                <c:pt idx="26">
                  <c:v>361861.29499999998</c:v>
                </c:pt>
                <c:pt idx="27">
                  <c:v>338181.95500000002</c:v>
                </c:pt>
              </c:numCache>
            </c:numRef>
          </c:val>
          <c:smooth val="0"/>
          <c:extLst xmlns:c16r2="http://schemas.microsoft.com/office/drawing/2015/06/chart">
            <c:ext xmlns:c16="http://schemas.microsoft.com/office/drawing/2014/chart" uri="{C3380CC4-5D6E-409C-BE32-E72D297353CC}">
              <c16:uniqueId val="{00000003-9B73-42FF-A3CF-16AE2BAE2737}"/>
            </c:ext>
          </c:extLst>
        </c:ser>
        <c:ser>
          <c:idx val="4"/>
          <c:order val="4"/>
          <c:tx>
            <c:v>BIO real. K.O.</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5-2019'!$D$262:$AE$262</c:f>
              <c:numCache>
                <c:formatCode>General</c:formatCode>
                <c:ptCount val="28"/>
                <c:pt idx="0">
                  <c:v>0</c:v>
                </c:pt>
                <c:pt idx="1">
                  <c:v>0</c:v>
                </c:pt>
                <c:pt idx="2">
                  <c:v>1754.9799235181772</c:v>
                </c:pt>
                <c:pt idx="3">
                  <c:v>5278.4613809245175</c:v>
                </c:pt>
                <c:pt idx="4">
                  <c:v>17679.684591520199</c:v>
                </c:pt>
                <c:pt idx="5">
                  <c:v>26645.790793071981</c:v>
                </c:pt>
                <c:pt idx="6">
                  <c:v>44707.311320754765</c:v>
                </c:pt>
                <c:pt idx="7">
                  <c:v>90052.538796624023</c:v>
                </c:pt>
                <c:pt idx="8">
                  <c:v>169778.69350984256</c:v>
                </c:pt>
                <c:pt idx="9">
                  <c:v>318433.06524302211</c:v>
                </c:pt>
                <c:pt idx="10">
                  <c:v>350753.56388349528</c:v>
                </c:pt>
                <c:pt idx="11">
                  <c:v>382621.27500000002</c:v>
                </c:pt>
                <c:pt idx="12">
                  <c:v>409487.05</c:v>
                </c:pt>
                <c:pt idx="13">
                  <c:v>425809.57500000001</c:v>
                </c:pt>
                <c:pt idx="14">
                  <c:v>434679.76150000002</c:v>
                </c:pt>
                <c:pt idx="15">
                  <c:v>443709.125</c:v>
                </c:pt>
                <c:pt idx="16">
                  <c:v>448467.88</c:v>
                </c:pt>
                <c:pt idx="17">
                  <c:v>449594.44999999995</c:v>
                </c:pt>
                <c:pt idx="18">
                  <c:v>443447.07500000007</c:v>
                </c:pt>
                <c:pt idx="19">
                  <c:v>432920.94999999995</c:v>
                </c:pt>
                <c:pt idx="20">
                  <c:v>424321.47500000021</c:v>
                </c:pt>
                <c:pt idx="21">
                  <c:v>415459.27499999991</c:v>
                </c:pt>
                <c:pt idx="22">
                  <c:v>396859.8</c:v>
                </c:pt>
                <c:pt idx="23">
                  <c:v>378504.57499999995</c:v>
                </c:pt>
                <c:pt idx="24">
                  <c:v>354983.1</c:v>
                </c:pt>
                <c:pt idx="25">
                  <c:v>330148</c:v>
                </c:pt>
                <c:pt idx="26">
                  <c:v>309041.27500000002</c:v>
                </c:pt>
                <c:pt idx="27">
                  <c:v>288376.67499999999</c:v>
                </c:pt>
              </c:numCache>
            </c:numRef>
          </c:val>
          <c:smooth val="0"/>
          <c:extLst xmlns:c16r2="http://schemas.microsoft.com/office/drawing/2015/06/chart">
            <c:ext xmlns:c16="http://schemas.microsoft.com/office/drawing/2014/chart" uri="{C3380CC4-5D6E-409C-BE32-E72D297353CC}">
              <c16:uniqueId val="{00000004-9B73-42FF-A3CF-16AE2BAE2737}"/>
            </c:ext>
          </c:extLst>
        </c:ser>
        <c:ser>
          <c:idx val="5"/>
          <c:order val="5"/>
          <c:tx>
            <c:v>BIO real. S.M.</c:v>
          </c:tx>
          <c:marker>
            <c:symbol val="none"/>
          </c:marker>
          <c:cat>
            <c:numRef>
              <c:f>'emise 5-2019'!$D$245:$AE$245</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'emise 5-2019'!$D$263:$AE$263</c:f>
              <c:numCache>
                <c:formatCode>General</c:formatCode>
                <c:ptCount val="28"/>
                <c:pt idx="0">
                  <c:v>0</c:v>
                </c:pt>
                <c:pt idx="1">
                  <c:v>0</c:v>
                </c:pt>
                <c:pt idx="2">
                  <c:v>2057.9870363288846</c:v>
                </c:pt>
                <c:pt idx="3">
                  <c:v>6189.8417203042773</c:v>
                </c:pt>
                <c:pt idx="4">
                  <c:v>20732.415718717715</c:v>
                </c:pt>
                <c:pt idx="5">
                  <c:v>31246.915679124861</c:v>
                </c:pt>
                <c:pt idx="6">
                  <c:v>52427.783018867973</c:v>
                </c:pt>
                <c:pt idx="7">
                  <c:v>105604.77402668165</c:v>
                </c:pt>
                <c:pt idx="8">
                  <c:v>221000.898234252</c:v>
                </c:pt>
                <c:pt idx="9">
                  <c:v>373430.06092587986</c:v>
                </c:pt>
                <c:pt idx="10">
                  <c:v>413009.14759562985</c:v>
                </c:pt>
                <c:pt idx="11">
                  <c:v>442434.47499999998</c:v>
                </c:pt>
                <c:pt idx="12">
                  <c:v>470214.63</c:v>
                </c:pt>
                <c:pt idx="13">
                  <c:v>491629.57500000001</c:v>
                </c:pt>
                <c:pt idx="14">
                  <c:v>501678.02490000002</c:v>
                </c:pt>
                <c:pt idx="15">
                  <c:v>512221.16499999986</c:v>
                </c:pt>
                <c:pt idx="16">
                  <c:v>521020.30799999984</c:v>
                </c:pt>
                <c:pt idx="17">
                  <c:v>526250.76999999897</c:v>
                </c:pt>
                <c:pt idx="18">
                  <c:v>522041.21500000008</c:v>
                </c:pt>
                <c:pt idx="19">
                  <c:v>514696.91000000021</c:v>
                </c:pt>
                <c:pt idx="20">
                  <c:v>502611.89500000002</c:v>
                </c:pt>
                <c:pt idx="21">
                  <c:v>487218.79499999998</c:v>
                </c:pt>
                <c:pt idx="22">
                  <c:v>467133.78</c:v>
                </c:pt>
                <c:pt idx="23">
                  <c:v>443879.67499999993</c:v>
                </c:pt>
                <c:pt idx="24">
                  <c:v>416294.69999999995</c:v>
                </c:pt>
                <c:pt idx="25">
                  <c:v>387169.3</c:v>
                </c:pt>
                <c:pt idx="26">
                  <c:v>361861.29499999998</c:v>
                </c:pt>
                <c:pt idx="27">
                  <c:v>338181.95500000002</c:v>
                </c:pt>
              </c:numCache>
            </c:numRef>
          </c:val>
          <c:smooth val="0"/>
          <c:extLst xmlns:c16r2="http://schemas.microsoft.com/office/drawing/2015/06/chart">
            <c:ext xmlns:c16="http://schemas.microsoft.com/office/drawing/2014/chart" uri="{C3380CC4-5D6E-409C-BE32-E72D297353CC}">
              <c16:uniqueId val="{00000005-9B73-42FF-A3CF-16AE2BAE2737}"/>
            </c:ext>
          </c:extLst>
        </c:ser>
        <c:dLbls>
          <c:showLegendKey val="0"/>
          <c:showVal val="0"/>
          <c:showCatName val="0"/>
          <c:showSerName val="0"/>
          <c:showPercent val="0"/>
          <c:showBubbleSize val="0"/>
        </c:dLbls>
        <c:smooth val="0"/>
        <c:axId val="284472880"/>
        <c:axId val="284473272"/>
      </c:lineChart>
      <c:catAx>
        <c:axId val="284472880"/>
        <c:scaling>
          <c:orientation val="minMax"/>
        </c:scaling>
        <c:delete val="0"/>
        <c:axPos val="b"/>
        <c:numFmt formatCode="General" sourceLinked="1"/>
        <c:majorTickMark val="out"/>
        <c:minorTickMark val="none"/>
        <c:tickLblPos val="nextTo"/>
        <c:crossAx val="284473272"/>
        <c:crosses val="autoZero"/>
        <c:auto val="1"/>
        <c:lblAlgn val="ctr"/>
        <c:lblOffset val="100"/>
        <c:tickLblSkip val="3"/>
        <c:noMultiLvlLbl val="0"/>
      </c:catAx>
      <c:valAx>
        <c:axId val="284473272"/>
        <c:scaling>
          <c:orientation val="minMax"/>
          <c:max val="1400000"/>
        </c:scaling>
        <c:delete val="0"/>
        <c:axPos val="l"/>
        <c:majorGridlines/>
        <c:numFmt formatCode="#,##0" sourceLinked="0"/>
        <c:majorTickMark val="out"/>
        <c:minorTickMark val="none"/>
        <c:tickLblPos val="nextTo"/>
        <c:crossAx val="284472880"/>
        <c:crosses val="autoZero"/>
        <c:crossBetween val="between"/>
      </c:valAx>
    </c:plotArea>
    <c:legend>
      <c:legendPos val="r"/>
      <c:layout/>
      <c:overlay val="0"/>
    </c:legend>
    <c:plotVisOnly val="1"/>
    <c:dispBlanksAs val="gap"/>
    <c:showDLblsOverMax val="0"/>
  </c:chart>
  <c:spPr>
    <a:ln>
      <a:solidFill>
        <a:schemeClr val="tx1"/>
      </a:solidFill>
    </a:ln>
  </c:sp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V - PA</c:v>
          </c:tx>
          <c:spPr>
            <a:ln>
              <a:solidFill>
                <a:srgbClr val="00B050"/>
              </a:solidFill>
            </a:ln>
          </c:spPr>
          <c:marker>
            <c:symbol val="none"/>
          </c:marker>
          <c:cat>
            <c:numRef>
              <c:f>'verze 5-2019'!$D$23:$AE$23</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5-2019'!$D$24:$AE$24</c:f>
              <c:numCache>
                <c:formatCode>#,##0</c:formatCode>
                <c:ptCount val="28"/>
                <c:pt idx="0">
                  <c:v>22075</c:v>
                </c:pt>
                <c:pt idx="1">
                  <c:v>23520</c:v>
                </c:pt>
                <c:pt idx="2">
                  <c:v>25700</c:v>
                </c:pt>
                <c:pt idx="3">
                  <c:v>28050</c:v>
                </c:pt>
                <c:pt idx="4">
                  <c:v>30770</c:v>
                </c:pt>
                <c:pt idx="5">
                  <c:v>33470</c:v>
                </c:pt>
                <c:pt idx="6">
                  <c:v>36150</c:v>
                </c:pt>
                <c:pt idx="7">
                  <c:v>40000</c:v>
                </c:pt>
                <c:pt idx="8">
                  <c:v>42900</c:v>
                </c:pt>
                <c:pt idx="9">
                  <c:v>46050</c:v>
                </c:pt>
                <c:pt idx="10">
                  <c:v>49300</c:v>
                </c:pt>
                <c:pt idx="11">
                  <c:v>52600</c:v>
                </c:pt>
                <c:pt idx="12">
                  <c:v>55350</c:v>
                </c:pt>
                <c:pt idx="13">
                  <c:v>56750</c:v>
                </c:pt>
                <c:pt idx="14">
                  <c:v>57950</c:v>
                </c:pt>
                <c:pt idx="15">
                  <c:v>59000</c:v>
                </c:pt>
                <c:pt idx="16">
                  <c:v>60200</c:v>
                </c:pt>
                <c:pt idx="17">
                  <c:v>60950</c:v>
                </c:pt>
                <c:pt idx="18">
                  <c:v>61600</c:v>
                </c:pt>
                <c:pt idx="19">
                  <c:v>61900</c:v>
                </c:pt>
                <c:pt idx="20">
                  <c:v>62400</c:v>
                </c:pt>
                <c:pt idx="21">
                  <c:v>62700</c:v>
                </c:pt>
                <c:pt idx="22">
                  <c:v>63400</c:v>
                </c:pt>
                <c:pt idx="23">
                  <c:v>63900</c:v>
                </c:pt>
                <c:pt idx="24">
                  <c:v>64600</c:v>
                </c:pt>
                <c:pt idx="25">
                  <c:v>65000</c:v>
                </c:pt>
                <c:pt idx="26">
                  <c:v>65000</c:v>
                </c:pt>
                <c:pt idx="27">
                  <c:v>65000</c:v>
                </c:pt>
              </c:numCache>
            </c:numRef>
          </c:val>
          <c:smooth val="0"/>
          <c:extLst xmlns:c16r2="http://schemas.microsoft.com/office/drawing/2015/06/chart">
            <c:ext xmlns:c16="http://schemas.microsoft.com/office/drawing/2014/chart" uri="{C3380CC4-5D6E-409C-BE32-E72D297353CC}">
              <c16:uniqueId val="{00000000-4297-4898-AC1C-221FD1E99D6F}"/>
            </c:ext>
          </c:extLst>
        </c:ser>
        <c:ser>
          <c:idx val="1"/>
          <c:order val="1"/>
          <c:tx>
            <c:v>V - BAU</c:v>
          </c:tx>
          <c:spPr>
            <a:ln>
              <a:solidFill>
                <a:srgbClr val="7030A0"/>
              </a:solidFill>
            </a:ln>
          </c:spPr>
          <c:marker>
            <c:symbol val="none"/>
          </c:marker>
          <c:cat>
            <c:numRef>
              <c:f>'verze 5-2019'!$D$23:$AE$23</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5-2019'!$D$25:$AE$25</c:f>
              <c:numCache>
                <c:formatCode>#,##0</c:formatCode>
                <c:ptCount val="28"/>
                <c:pt idx="0">
                  <c:v>22075</c:v>
                </c:pt>
                <c:pt idx="1">
                  <c:v>23505</c:v>
                </c:pt>
                <c:pt idx="2">
                  <c:v>25670</c:v>
                </c:pt>
                <c:pt idx="3">
                  <c:v>27985</c:v>
                </c:pt>
                <c:pt idx="4">
                  <c:v>30630</c:v>
                </c:pt>
                <c:pt idx="5">
                  <c:v>33225</c:v>
                </c:pt>
                <c:pt idx="6">
                  <c:v>35920</c:v>
                </c:pt>
                <c:pt idx="7">
                  <c:v>39665</c:v>
                </c:pt>
                <c:pt idx="8">
                  <c:v>42460</c:v>
                </c:pt>
                <c:pt idx="9">
                  <c:v>45555</c:v>
                </c:pt>
                <c:pt idx="10">
                  <c:v>48650</c:v>
                </c:pt>
                <c:pt idx="11">
                  <c:v>51795</c:v>
                </c:pt>
                <c:pt idx="12">
                  <c:v>53840</c:v>
                </c:pt>
                <c:pt idx="13">
                  <c:v>54585</c:v>
                </c:pt>
                <c:pt idx="14">
                  <c:v>54130</c:v>
                </c:pt>
                <c:pt idx="15">
                  <c:v>53075</c:v>
                </c:pt>
                <c:pt idx="16">
                  <c:v>51750</c:v>
                </c:pt>
                <c:pt idx="17">
                  <c:v>50860</c:v>
                </c:pt>
                <c:pt idx="18">
                  <c:v>50000</c:v>
                </c:pt>
                <c:pt idx="19">
                  <c:v>49855</c:v>
                </c:pt>
                <c:pt idx="20">
                  <c:v>48900</c:v>
                </c:pt>
                <c:pt idx="21">
                  <c:v>47845</c:v>
                </c:pt>
                <c:pt idx="22">
                  <c:v>47090</c:v>
                </c:pt>
                <c:pt idx="23">
                  <c:v>46235</c:v>
                </c:pt>
                <c:pt idx="24">
                  <c:v>45380</c:v>
                </c:pt>
                <c:pt idx="25">
                  <c:v>43980</c:v>
                </c:pt>
                <c:pt idx="26">
                  <c:v>42970</c:v>
                </c:pt>
                <c:pt idx="27">
                  <c:v>42000</c:v>
                </c:pt>
              </c:numCache>
            </c:numRef>
          </c:val>
          <c:smooth val="0"/>
          <c:extLst xmlns:c16r2="http://schemas.microsoft.com/office/drawing/2015/06/chart">
            <c:ext xmlns:c16="http://schemas.microsoft.com/office/drawing/2014/chart" uri="{C3380CC4-5D6E-409C-BE32-E72D297353CC}">
              <c16:uniqueId val="{00000001-4297-4898-AC1C-221FD1E99D6F}"/>
            </c:ext>
          </c:extLst>
        </c:ser>
        <c:ser>
          <c:idx val="2"/>
          <c:order val="2"/>
          <c:tx>
            <c:v>V - BP</c:v>
          </c:tx>
          <c:spPr>
            <a:ln>
              <a:solidFill>
                <a:srgbClr val="FF0000"/>
              </a:solidFill>
            </a:ln>
          </c:spPr>
          <c:marker>
            <c:symbol val="none"/>
          </c:marker>
          <c:cat>
            <c:numRef>
              <c:f>'verze 5-2019'!$D$23:$AE$23</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5-2019'!$D$26:$AE$26</c:f>
              <c:numCache>
                <c:formatCode>#,##0</c:formatCode>
                <c:ptCount val="28"/>
                <c:pt idx="0">
                  <c:v>22075</c:v>
                </c:pt>
                <c:pt idx="1">
                  <c:v>22505</c:v>
                </c:pt>
                <c:pt idx="2">
                  <c:v>22750</c:v>
                </c:pt>
                <c:pt idx="3">
                  <c:v>23935</c:v>
                </c:pt>
                <c:pt idx="4">
                  <c:v>25250</c:v>
                </c:pt>
                <c:pt idx="5">
                  <c:v>26615</c:v>
                </c:pt>
                <c:pt idx="6">
                  <c:v>28280</c:v>
                </c:pt>
                <c:pt idx="7">
                  <c:v>29300</c:v>
                </c:pt>
                <c:pt idx="8">
                  <c:v>30510</c:v>
                </c:pt>
                <c:pt idx="9">
                  <c:v>30955</c:v>
                </c:pt>
                <c:pt idx="10">
                  <c:v>29500</c:v>
                </c:pt>
                <c:pt idx="11">
                  <c:v>27895</c:v>
                </c:pt>
                <c:pt idx="12">
                  <c:v>26240</c:v>
                </c:pt>
                <c:pt idx="13">
                  <c:v>25385</c:v>
                </c:pt>
                <c:pt idx="14">
                  <c:v>24300</c:v>
                </c:pt>
                <c:pt idx="15">
                  <c:v>23825</c:v>
                </c:pt>
                <c:pt idx="16">
                  <c:v>22900</c:v>
                </c:pt>
                <c:pt idx="17">
                  <c:v>22020</c:v>
                </c:pt>
                <c:pt idx="18">
                  <c:v>20710</c:v>
                </c:pt>
                <c:pt idx="19">
                  <c:v>18855</c:v>
                </c:pt>
                <c:pt idx="20">
                  <c:v>17150</c:v>
                </c:pt>
                <c:pt idx="21">
                  <c:v>15945</c:v>
                </c:pt>
                <c:pt idx="22">
                  <c:v>14840</c:v>
                </c:pt>
                <c:pt idx="23">
                  <c:v>13435</c:v>
                </c:pt>
                <c:pt idx="24">
                  <c:v>12080</c:v>
                </c:pt>
                <c:pt idx="25">
                  <c:v>10225</c:v>
                </c:pt>
                <c:pt idx="26">
                  <c:v>8770</c:v>
                </c:pt>
                <c:pt idx="27">
                  <c:v>7115</c:v>
                </c:pt>
              </c:numCache>
            </c:numRef>
          </c:val>
          <c:smooth val="0"/>
          <c:extLst xmlns:c16r2="http://schemas.microsoft.com/office/drawing/2015/06/chart">
            <c:ext xmlns:c16="http://schemas.microsoft.com/office/drawing/2014/chart" uri="{C3380CC4-5D6E-409C-BE32-E72D297353CC}">
              <c16:uniqueId val="{00000002-4297-4898-AC1C-221FD1E99D6F}"/>
            </c:ext>
          </c:extLst>
        </c:ser>
        <c:dLbls>
          <c:showLegendKey val="0"/>
          <c:showVal val="0"/>
          <c:showCatName val="0"/>
          <c:showSerName val="0"/>
          <c:showPercent val="0"/>
          <c:showBubbleSize val="0"/>
        </c:dLbls>
        <c:smooth val="0"/>
        <c:axId val="284474056"/>
        <c:axId val="284179808"/>
      </c:lineChart>
      <c:catAx>
        <c:axId val="284474056"/>
        <c:scaling>
          <c:orientation val="minMax"/>
        </c:scaling>
        <c:delete val="0"/>
        <c:axPos val="b"/>
        <c:numFmt formatCode="General" sourceLinked="1"/>
        <c:majorTickMark val="out"/>
        <c:minorTickMark val="none"/>
        <c:tickLblPos val="nextTo"/>
        <c:crossAx val="284179808"/>
        <c:crosses val="autoZero"/>
        <c:auto val="1"/>
        <c:lblAlgn val="ctr"/>
        <c:lblOffset val="100"/>
        <c:tickLblSkip val="3"/>
        <c:noMultiLvlLbl val="0"/>
      </c:catAx>
      <c:valAx>
        <c:axId val="284179808"/>
        <c:scaling>
          <c:orientation val="minMax"/>
        </c:scaling>
        <c:delete val="0"/>
        <c:axPos val="l"/>
        <c:majorGridlines/>
        <c:numFmt formatCode="#,##0" sourceLinked="1"/>
        <c:majorTickMark val="out"/>
        <c:minorTickMark val="none"/>
        <c:tickLblPos val="nextTo"/>
        <c:crossAx val="284474056"/>
        <c:crosses val="autoZero"/>
        <c:crossBetween val="between"/>
      </c:valAx>
    </c:plotArea>
    <c:legend>
      <c:legendPos val="r"/>
      <c:layout/>
      <c:overlay val="0"/>
    </c:legend>
    <c:plotVisOnly val="1"/>
    <c:dispBlanksAs val="gap"/>
    <c:showDLblsOverMax val="0"/>
  </c:chart>
  <c:spPr>
    <a:ln>
      <a:solidFill>
        <a:schemeClr val="tx1"/>
      </a:solid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V - PA</c:v>
          </c:tx>
          <c:spPr>
            <a:ln>
              <a:solidFill>
                <a:srgbClr val="00B050"/>
              </a:solidFill>
            </a:ln>
          </c:spPr>
          <c:marker>
            <c:symbol val="none"/>
          </c:marker>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5-2019'!$D$37:$AE$37</c:f>
              <c:numCache>
                <c:formatCode>General</c:formatCode>
                <c:ptCount val="28"/>
                <c:pt idx="0">
                  <c:v>71290000</c:v>
                </c:pt>
                <c:pt idx="1">
                  <c:v>76150000</c:v>
                </c:pt>
                <c:pt idx="2">
                  <c:v>84400000</c:v>
                </c:pt>
                <c:pt idx="3">
                  <c:v>98500000</c:v>
                </c:pt>
                <c:pt idx="4">
                  <c:v>124100000</c:v>
                </c:pt>
                <c:pt idx="5">
                  <c:v>146250000</c:v>
                </c:pt>
                <c:pt idx="6">
                  <c:v>173500000</c:v>
                </c:pt>
                <c:pt idx="7">
                  <c:v>205500000</c:v>
                </c:pt>
                <c:pt idx="8">
                  <c:v>238500000</c:v>
                </c:pt>
                <c:pt idx="9">
                  <c:v>280500000</c:v>
                </c:pt>
                <c:pt idx="10">
                  <c:v>325500000</c:v>
                </c:pt>
                <c:pt idx="11">
                  <c:v>371500000</c:v>
                </c:pt>
                <c:pt idx="12">
                  <c:v>411900000</c:v>
                </c:pt>
                <c:pt idx="13">
                  <c:v>440300000</c:v>
                </c:pt>
                <c:pt idx="14">
                  <c:v>468400000</c:v>
                </c:pt>
                <c:pt idx="15">
                  <c:v>499200000</c:v>
                </c:pt>
                <c:pt idx="16">
                  <c:v>533500000</c:v>
                </c:pt>
                <c:pt idx="17">
                  <c:v>557650000</c:v>
                </c:pt>
                <c:pt idx="18">
                  <c:v>578300000</c:v>
                </c:pt>
                <c:pt idx="19">
                  <c:v>603700000</c:v>
                </c:pt>
                <c:pt idx="20">
                  <c:v>608800000</c:v>
                </c:pt>
                <c:pt idx="21">
                  <c:v>606900000</c:v>
                </c:pt>
                <c:pt idx="22">
                  <c:v>607950000</c:v>
                </c:pt>
                <c:pt idx="23">
                  <c:v>605000000</c:v>
                </c:pt>
                <c:pt idx="24">
                  <c:v>606050000</c:v>
                </c:pt>
                <c:pt idx="25">
                  <c:v>602950000</c:v>
                </c:pt>
                <c:pt idx="26">
                  <c:v>602950000</c:v>
                </c:pt>
                <c:pt idx="27">
                  <c:v>602950000</c:v>
                </c:pt>
              </c:numCache>
            </c:numRef>
          </c:val>
          <c:smooth val="0"/>
          <c:extLst xmlns:c16r2="http://schemas.microsoft.com/office/drawing/2015/06/chart">
            <c:ext xmlns:c16="http://schemas.microsoft.com/office/drawing/2014/chart" uri="{C3380CC4-5D6E-409C-BE32-E72D297353CC}">
              <c16:uniqueId val="{00000000-0AF6-4E9A-8076-42367BEE5E73}"/>
            </c:ext>
          </c:extLst>
        </c:ser>
        <c:ser>
          <c:idx val="1"/>
          <c:order val="1"/>
          <c:tx>
            <c:v>V - BAU</c:v>
          </c:tx>
          <c:spPr>
            <a:ln>
              <a:solidFill>
                <a:srgbClr val="7030A0"/>
              </a:solidFill>
            </a:ln>
          </c:spPr>
          <c:marker>
            <c:symbol val="none"/>
          </c:marker>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5-2019'!$D$42:$AE$42</c:f>
              <c:numCache>
                <c:formatCode>General</c:formatCode>
                <c:ptCount val="28"/>
                <c:pt idx="0">
                  <c:v>71290000</c:v>
                </c:pt>
                <c:pt idx="1">
                  <c:v>75700000</c:v>
                </c:pt>
                <c:pt idx="2">
                  <c:v>83500000</c:v>
                </c:pt>
                <c:pt idx="3">
                  <c:v>96550000</c:v>
                </c:pt>
                <c:pt idx="4">
                  <c:v>120400000</c:v>
                </c:pt>
                <c:pt idx="5">
                  <c:v>141750000</c:v>
                </c:pt>
                <c:pt idx="6">
                  <c:v>166600000</c:v>
                </c:pt>
                <c:pt idx="7">
                  <c:v>195450000</c:v>
                </c:pt>
                <c:pt idx="8">
                  <c:v>225300000</c:v>
                </c:pt>
                <c:pt idx="9">
                  <c:v>265650000</c:v>
                </c:pt>
                <c:pt idx="10">
                  <c:v>306000000</c:v>
                </c:pt>
                <c:pt idx="11">
                  <c:v>347350000</c:v>
                </c:pt>
                <c:pt idx="12">
                  <c:v>383700000</c:v>
                </c:pt>
                <c:pt idx="13">
                  <c:v>409550000</c:v>
                </c:pt>
                <c:pt idx="14">
                  <c:v>430250000</c:v>
                </c:pt>
                <c:pt idx="15">
                  <c:v>454900000</c:v>
                </c:pt>
                <c:pt idx="16">
                  <c:v>484345000</c:v>
                </c:pt>
                <c:pt idx="17">
                  <c:v>501760000</c:v>
                </c:pt>
                <c:pt idx="18">
                  <c:v>519860000</c:v>
                </c:pt>
                <c:pt idx="19">
                  <c:v>539750000</c:v>
                </c:pt>
                <c:pt idx="20">
                  <c:v>546000000</c:v>
                </c:pt>
                <c:pt idx="21">
                  <c:v>546000000</c:v>
                </c:pt>
                <c:pt idx="22">
                  <c:v>546150000</c:v>
                </c:pt>
                <c:pt idx="23">
                  <c:v>542450000</c:v>
                </c:pt>
                <c:pt idx="24">
                  <c:v>542450000</c:v>
                </c:pt>
                <c:pt idx="25">
                  <c:v>537932500</c:v>
                </c:pt>
                <c:pt idx="26">
                  <c:v>537700000</c:v>
                </c:pt>
                <c:pt idx="27">
                  <c:v>537527500</c:v>
                </c:pt>
              </c:numCache>
            </c:numRef>
          </c:val>
          <c:smooth val="0"/>
          <c:extLst xmlns:c16r2="http://schemas.microsoft.com/office/drawing/2015/06/chart">
            <c:ext xmlns:c16="http://schemas.microsoft.com/office/drawing/2014/chart" uri="{C3380CC4-5D6E-409C-BE32-E72D297353CC}">
              <c16:uniqueId val="{00000001-0AF6-4E9A-8076-42367BEE5E73}"/>
            </c:ext>
          </c:extLst>
        </c:ser>
        <c:ser>
          <c:idx val="2"/>
          <c:order val="2"/>
          <c:tx>
            <c:v>V - BP</c:v>
          </c:tx>
          <c:spPr>
            <a:ln>
              <a:solidFill>
                <a:srgbClr val="FF0000"/>
              </a:solidFill>
            </a:ln>
          </c:spPr>
          <c:marker>
            <c:symbol val="none"/>
          </c:marker>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5-2019'!$D$47:$AE$47</c:f>
              <c:numCache>
                <c:formatCode>General</c:formatCode>
                <c:ptCount val="28"/>
                <c:pt idx="0">
                  <c:v>71290000</c:v>
                </c:pt>
                <c:pt idx="1">
                  <c:v>74200000</c:v>
                </c:pt>
                <c:pt idx="2">
                  <c:v>78450000</c:v>
                </c:pt>
                <c:pt idx="3">
                  <c:v>85450000</c:v>
                </c:pt>
                <c:pt idx="4">
                  <c:v>96700000</c:v>
                </c:pt>
                <c:pt idx="5">
                  <c:v>109700000</c:v>
                </c:pt>
                <c:pt idx="6">
                  <c:v>129850000</c:v>
                </c:pt>
                <c:pt idx="7">
                  <c:v>156102500</c:v>
                </c:pt>
                <c:pt idx="8">
                  <c:v>177800000</c:v>
                </c:pt>
                <c:pt idx="9">
                  <c:v>191650000</c:v>
                </c:pt>
                <c:pt idx="10">
                  <c:v>206000000</c:v>
                </c:pt>
                <c:pt idx="11">
                  <c:v>215850000</c:v>
                </c:pt>
                <c:pt idx="12">
                  <c:v>224700000</c:v>
                </c:pt>
                <c:pt idx="13">
                  <c:v>228050000</c:v>
                </c:pt>
                <c:pt idx="14">
                  <c:v>232905000</c:v>
                </c:pt>
                <c:pt idx="15">
                  <c:v>237750000</c:v>
                </c:pt>
                <c:pt idx="16">
                  <c:v>241920000</c:v>
                </c:pt>
                <c:pt idx="17">
                  <c:v>246300000</c:v>
                </c:pt>
                <c:pt idx="18">
                  <c:v>243050000</c:v>
                </c:pt>
                <c:pt idx="19">
                  <c:v>237300000</c:v>
                </c:pt>
                <c:pt idx="20">
                  <c:v>232650000</c:v>
                </c:pt>
                <c:pt idx="21">
                  <c:v>227850000</c:v>
                </c:pt>
                <c:pt idx="22">
                  <c:v>223200000</c:v>
                </c:pt>
                <c:pt idx="23">
                  <c:v>208050000</c:v>
                </c:pt>
                <c:pt idx="24">
                  <c:v>195400000</c:v>
                </c:pt>
                <c:pt idx="25">
                  <c:v>182000000</c:v>
                </c:pt>
                <c:pt idx="26">
                  <c:v>165850000</c:v>
                </c:pt>
                <c:pt idx="27">
                  <c:v>159450000</c:v>
                </c:pt>
              </c:numCache>
            </c:numRef>
          </c:val>
          <c:smooth val="0"/>
          <c:extLst xmlns:c16r2="http://schemas.microsoft.com/office/drawing/2015/06/chart">
            <c:ext xmlns:c16="http://schemas.microsoft.com/office/drawing/2014/chart" uri="{C3380CC4-5D6E-409C-BE32-E72D297353CC}">
              <c16:uniqueId val="{00000002-0AF6-4E9A-8076-42367BEE5E73}"/>
            </c:ext>
          </c:extLst>
        </c:ser>
        <c:dLbls>
          <c:showLegendKey val="0"/>
          <c:showVal val="0"/>
          <c:showCatName val="0"/>
          <c:showSerName val="0"/>
          <c:showPercent val="0"/>
          <c:showBubbleSize val="0"/>
        </c:dLbls>
        <c:smooth val="0"/>
        <c:axId val="284180592"/>
        <c:axId val="284180984"/>
      </c:lineChart>
      <c:catAx>
        <c:axId val="284180592"/>
        <c:scaling>
          <c:orientation val="minMax"/>
        </c:scaling>
        <c:delete val="0"/>
        <c:axPos val="b"/>
        <c:numFmt formatCode="General" sourceLinked="1"/>
        <c:majorTickMark val="out"/>
        <c:minorTickMark val="none"/>
        <c:tickLblPos val="nextTo"/>
        <c:crossAx val="284180984"/>
        <c:crosses val="autoZero"/>
        <c:auto val="1"/>
        <c:lblAlgn val="ctr"/>
        <c:lblOffset val="100"/>
        <c:tickLblSkip val="3"/>
        <c:noMultiLvlLbl val="0"/>
      </c:catAx>
      <c:valAx>
        <c:axId val="284180984"/>
        <c:scaling>
          <c:orientation val="minMax"/>
        </c:scaling>
        <c:delete val="0"/>
        <c:axPos val="l"/>
        <c:majorGridlines/>
        <c:numFmt formatCode="#,##0" sourceLinked="0"/>
        <c:majorTickMark val="out"/>
        <c:minorTickMark val="none"/>
        <c:tickLblPos val="nextTo"/>
        <c:crossAx val="28418059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V - PA CNG/LNG</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5-2019'!$D$54:$AE$54</c:f>
              <c:numCache>
                <c:formatCode>General</c:formatCode>
                <c:ptCount val="28"/>
                <c:pt idx="0">
                  <c:v>71290000</c:v>
                </c:pt>
                <c:pt idx="1">
                  <c:v>76150000</c:v>
                </c:pt>
                <c:pt idx="2">
                  <c:v>82712000</c:v>
                </c:pt>
                <c:pt idx="3">
                  <c:v>95545000</c:v>
                </c:pt>
                <c:pt idx="4">
                  <c:v>119136000</c:v>
                </c:pt>
                <c:pt idx="5">
                  <c:v>138937500</c:v>
                </c:pt>
                <c:pt idx="6">
                  <c:v>161355000</c:v>
                </c:pt>
                <c:pt idx="7">
                  <c:v>187005000</c:v>
                </c:pt>
                <c:pt idx="8">
                  <c:v>214650000</c:v>
                </c:pt>
                <c:pt idx="9">
                  <c:v>249645000</c:v>
                </c:pt>
                <c:pt idx="10">
                  <c:v>286440000</c:v>
                </c:pt>
                <c:pt idx="11">
                  <c:v>323205000</c:v>
                </c:pt>
                <c:pt idx="12">
                  <c:v>354234000</c:v>
                </c:pt>
                <c:pt idx="13">
                  <c:v>378658000</c:v>
                </c:pt>
                <c:pt idx="14">
                  <c:v>402824000</c:v>
                </c:pt>
                <c:pt idx="15">
                  <c:v>429312000</c:v>
                </c:pt>
                <c:pt idx="16">
                  <c:v>458810000</c:v>
                </c:pt>
                <c:pt idx="17">
                  <c:v>479579000</c:v>
                </c:pt>
                <c:pt idx="18">
                  <c:v>497338000</c:v>
                </c:pt>
                <c:pt idx="19">
                  <c:v>519182000</c:v>
                </c:pt>
                <c:pt idx="20">
                  <c:v>523568000</c:v>
                </c:pt>
                <c:pt idx="21">
                  <c:v>521934000</c:v>
                </c:pt>
                <c:pt idx="22">
                  <c:v>522837000</c:v>
                </c:pt>
                <c:pt idx="23">
                  <c:v>520300000</c:v>
                </c:pt>
                <c:pt idx="24">
                  <c:v>521203000</c:v>
                </c:pt>
                <c:pt idx="25">
                  <c:v>518537000</c:v>
                </c:pt>
                <c:pt idx="26">
                  <c:v>518537000</c:v>
                </c:pt>
                <c:pt idx="27">
                  <c:v>518537000</c:v>
                </c:pt>
              </c:numCache>
            </c:numRef>
          </c:val>
          <c:extLst xmlns:c16r2="http://schemas.microsoft.com/office/drawing/2015/06/chart">
            <c:ext xmlns:c16="http://schemas.microsoft.com/office/drawing/2014/chart" uri="{C3380CC4-5D6E-409C-BE32-E72D297353CC}">
              <c16:uniqueId val="{00000000-3696-45F8-A69C-37A09D74DED7}"/>
            </c:ext>
          </c:extLst>
        </c:ser>
        <c:ser>
          <c:idx val="1"/>
          <c:order val="1"/>
          <c:tx>
            <c:v>V - PA bio</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5-2019'!$D$55:$AE$55</c:f>
              <c:numCache>
                <c:formatCode>General</c:formatCode>
                <c:ptCount val="28"/>
                <c:pt idx="0">
                  <c:v>0</c:v>
                </c:pt>
                <c:pt idx="1">
                  <c:v>0</c:v>
                </c:pt>
                <c:pt idx="2">
                  <c:v>1688000</c:v>
                </c:pt>
                <c:pt idx="3">
                  <c:v>2955000</c:v>
                </c:pt>
                <c:pt idx="4">
                  <c:v>4964000</c:v>
                </c:pt>
                <c:pt idx="5">
                  <c:v>7312500</c:v>
                </c:pt>
                <c:pt idx="6">
                  <c:v>12145000.000000002</c:v>
                </c:pt>
                <c:pt idx="7">
                  <c:v>18495000</c:v>
                </c:pt>
                <c:pt idx="8">
                  <c:v>23850000</c:v>
                </c:pt>
                <c:pt idx="9">
                  <c:v>30855000</c:v>
                </c:pt>
                <c:pt idx="10">
                  <c:v>39060000</c:v>
                </c:pt>
                <c:pt idx="11">
                  <c:v>48295000</c:v>
                </c:pt>
                <c:pt idx="12">
                  <c:v>57666000.000000007</c:v>
                </c:pt>
                <c:pt idx="13">
                  <c:v>61642000.000000007</c:v>
                </c:pt>
                <c:pt idx="14">
                  <c:v>65576000.000000007</c:v>
                </c:pt>
                <c:pt idx="15">
                  <c:v>69888000</c:v>
                </c:pt>
                <c:pt idx="16">
                  <c:v>74690000</c:v>
                </c:pt>
                <c:pt idx="17">
                  <c:v>78071000</c:v>
                </c:pt>
                <c:pt idx="18">
                  <c:v>80962000.000000015</c:v>
                </c:pt>
                <c:pt idx="19">
                  <c:v>84518000.000000015</c:v>
                </c:pt>
                <c:pt idx="20">
                  <c:v>85232000.000000015</c:v>
                </c:pt>
                <c:pt idx="21">
                  <c:v>84966000.000000015</c:v>
                </c:pt>
                <c:pt idx="22">
                  <c:v>85113000.000000015</c:v>
                </c:pt>
                <c:pt idx="23">
                  <c:v>84700000.000000015</c:v>
                </c:pt>
                <c:pt idx="24">
                  <c:v>84847000.000000015</c:v>
                </c:pt>
                <c:pt idx="25">
                  <c:v>84413000.000000015</c:v>
                </c:pt>
                <c:pt idx="26">
                  <c:v>84413000.000000015</c:v>
                </c:pt>
                <c:pt idx="27">
                  <c:v>84413000.000000015</c:v>
                </c:pt>
              </c:numCache>
            </c:numRef>
          </c:val>
          <c:extLst xmlns:c16r2="http://schemas.microsoft.com/office/drawing/2015/06/chart">
            <c:ext xmlns:c16="http://schemas.microsoft.com/office/drawing/2014/chart" uri="{C3380CC4-5D6E-409C-BE32-E72D297353CC}">
              <c16:uniqueId val="{00000001-3696-45F8-A69C-37A09D74DED7}"/>
            </c:ext>
          </c:extLst>
        </c:ser>
        <c:ser>
          <c:idx val="2"/>
          <c:order val="2"/>
          <c:tx>
            <c:v>V - BAU CNG/LNG</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5-2019'!$D$56:$AE$56</c:f>
              <c:numCache>
                <c:formatCode>General</c:formatCode>
                <c:ptCount val="28"/>
                <c:pt idx="0">
                  <c:v>71290000</c:v>
                </c:pt>
                <c:pt idx="1">
                  <c:v>75700000</c:v>
                </c:pt>
                <c:pt idx="2">
                  <c:v>81830000</c:v>
                </c:pt>
                <c:pt idx="3">
                  <c:v>93653500</c:v>
                </c:pt>
                <c:pt idx="4">
                  <c:v>115584000</c:v>
                </c:pt>
                <c:pt idx="5">
                  <c:v>134662500</c:v>
                </c:pt>
                <c:pt idx="6">
                  <c:v>154938000</c:v>
                </c:pt>
                <c:pt idx="7">
                  <c:v>177859500</c:v>
                </c:pt>
                <c:pt idx="8">
                  <c:v>202770000</c:v>
                </c:pt>
                <c:pt idx="9">
                  <c:v>236428500</c:v>
                </c:pt>
                <c:pt idx="10">
                  <c:v>269280000</c:v>
                </c:pt>
                <c:pt idx="11">
                  <c:v>302194500</c:v>
                </c:pt>
                <c:pt idx="12">
                  <c:v>329982000</c:v>
                </c:pt>
                <c:pt idx="13">
                  <c:v>352213000</c:v>
                </c:pt>
                <c:pt idx="14">
                  <c:v>370015000</c:v>
                </c:pt>
                <c:pt idx="15">
                  <c:v>391214000</c:v>
                </c:pt>
                <c:pt idx="16">
                  <c:v>416536700</c:v>
                </c:pt>
                <c:pt idx="17">
                  <c:v>431513600</c:v>
                </c:pt>
                <c:pt idx="18">
                  <c:v>447079600</c:v>
                </c:pt>
                <c:pt idx="19">
                  <c:v>464185000</c:v>
                </c:pt>
                <c:pt idx="20">
                  <c:v>469560000</c:v>
                </c:pt>
                <c:pt idx="21">
                  <c:v>469560000</c:v>
                </c:pt>
                <c:pt idx="22">
                  <c:v>469689000</c:v>
                </c:pt>
                <c:pt idx="23">
                  <c:v>466507000</c:v>
                </c:pt>
                <c:pt idx="24">
                  <c:v>466507000</c:v>
                </c:pt>
                <c:pt idx="25">
                  <c:v>462621950</c:v>
                </c:pt>
                <c:pt idx="26">
                  <c:v>462422000</c:v>
                </c:pt>
                <c:pt idx="27">
                  <c:v>462273650</c:v>
                </c:pt>
              </c:numCache>
            </c:numRef>
          </c:val>
          <c:extLst xmlns:c16r2="http://schemas.microsoft.com/office/drawing/2015/06/chart">
            <c:ext xmlns:c16="http://schemas.microsoft.com/office/drawing/2014/chart" uri="{C3380CC4-5D6E-409C-BE32-E72D297353CC}">
              <c16:uniqueId val="{00000002-3696-45F8-A69C-37A09D74DED7}"/>
            </c:ext>
          </c:extLst>
        </c:ser>
        <c:ser>
          <c:idx val="3"/>
          <c:order val="3"/>
          <c:tx>
            <c:v>V - BAU bio</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5-2019'!$D$57:$AE$57</c:f>
              <c:numCache>
                <c:formatCode>General</c:formatCode>
                <c:ptCount val="28"/>
                <c:pt idx="0">
                  <c:v>0</c:v>
                </c:pt>
                <c:pt idx="1">
                  <c:v>0</c:v>
                </c:pt>
                <c:pt idx="2">
                  <c:v>1670000</c:v>
                </c:pt>
                <c:pt idx="3">
                  <c:v>2896500</c:v>
                </c:pt>
                <c:pt idx="4">
                  <c:v>4816000</c:v>
                </c:pt>
                <c:pt idx="5">
                  <c:v>7087500</c:v>
                </c:pt>
                <c:pt idx="6">
                  <c:v>11662000.000000002</c:v>
                </c:pt>
                <c:pt idx="7">
                  <c:v>17590500</c:v>
                </c:pt>
                <c:pt idx="8">
                  <c:v>22530000</c:v>
                </c:pt>
                <c:pt idx="9">
                  <c:v>29221500</c:v>
                </c:pt>
                <c:pt idx="10">
                  <c:v>36720000</c:v>
                </c:pt>
                <c:pt idx="11">
                  <c:v>45155500</c:v>
                </c:pt>
                <c:pt idx="12">
                  <c:v>53718000.000000007</c:v>
                </c:pt>
                <c:pt idx="13">
                  <c:v>57337000.000000007</c:v>
                </c:pt>
                <c:pt idx="14">
                  <c:v>60235000.000000007</c:v>
                </c:pt>
                <c:pt idx="15">
                  <c:v>63686000.000000007</c:v>
                </c:pt>
                <c:pt idx="16">
                  <c:v>67808300</c:v>
                </c:pt>
                <c:pt idx="17">
                  <c:v>70246400</c:v>
                </c:pt>
                <c:pt idx="18">
                  <c:v>72780400</c:v>
                </c:pt>
                <c:pt idx="19">
                  <c:v>75565000</c:v>
                </c:pt>
                <c:pt idx="20">
                  <c:v>76440000</c:v>
                </c:pt>
                <c:pt idx="21">
                  <c:v>76440000</c:v>
                </c:pt>
                <c:pt idx="22">
                  <c:v>76461000</c:v>
                </c:pt>
                <c:pt idx="23">
                  <c:v>75943000</c:v>
                </c:pt>
                <c:pt idx="24">
                  <c:v>75943000</c:v>
                </c:pt>
                <c:pt idx="25">
                  <c:v>75310550</c:v>
                </c:pt>
                <c:pt idx="26">
                  <c:v>75278000</c:v>
                </c:pt>
                <c:pt idx="27">
                  <c:v>75253850</c:v>
                </c:pt>
              </c:numCache>
            </c:numRef>
          </c:val>
          <c:extLst xmlns:c16r2="http://schemas.microsoft.com/office/drawing/2015/06/chart">
            <c:ext xmlns:c16="http://schemas.microsoft.com/office/drawing/2014/chart" uri="{C3380CC4-5D6E-409C-BE32-E72D297353CC}">
              <c16:uniqueId val="{00000003-3696-45F8-A69C-37A09D74DED7}"/>
            </c:ext>
          </c:extLst>
        </c:ser>
        <c:ser>
          <c:idx val="4"/>
          <c:order val="4"/>
          <c:tx>
            <c:v>V - BP CNG/LNG</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5-2019'!$D$58:$AE$58</c:f>
              <c:numCache>
                <c:formatCode>General</c:formatCode>
                <c:ptCount val="28"/>
                <c:pt idx="0">
                  <c:v>71290000</c:v>
                </c:pt>
                <c:pt idx="1">
                  <c:v>74200000</c:v>
                </c:pt>
                <c:pt idx="2">
                  <c:v>76881000</c:v>
                </c:pt>
                <c:pt idx="3">
                  <c:v>82886500</c:v>
                </c:pt>
                <c:pt idx="4">
                  <c:v>92832000</c:v>
                </c:pt>
                <c:pt idx="5">
                  <c:v>104215000</c:v>
                </c:pt>
                <c:pt idx="6">
                  <c:v>120760500</c:v>
                </c:pt>
                <c:pt idx="7">
                  <c:v>142053275</c:v>
                </c:pt>
                <c:pt idx="8">
                  <c:v>160020000</c:v>
                </c:pt>
                <c:pt idx="9">
                  <c:v>170568500</c:v>
                </c:pt>
                <c:pt idx="10">
                  <c:v>181280000</c:v>
                </c:pt>
                <c:pt idx="11">
                  <c:v>187789500</c:v>
                </c:pt>
                <c:pt idx="12">
                  <c:v>193242000</c:v>
                </c:pt>
                <c:pt idx="13">
                  <c:v>196123000</c:v>
                </c:pt>
                <c:pt idx="14">
                  <c:v>200298300</c:v>
                </c:pt>
                <c:pt idx="15">
                  <c:v>204465000</c:v>
                </c:pt>
                <c:pt idx="16">
                  <c:v>208051200</c:v>
                </c:pt>
                <c:pt idx="17">
                  <c:v>211818000</c:v>
                </c:pt>
                <c:pt idx="18">
                  <c:v>209023000</c:v>
                </c:pt>
                <c:pt idx="19">
                  <c:v>204078000</c:v>
                </c:pt>
                <c:pt idx="20">
                  <c:v>200079000</c:v>
                </c:pt>
                <c:pt idx="21">
                  <c:v>195951000</c:v>
                </c:pt>
                <c:pt idx="22">
                  <c:v>191952000</c:v>
                </c:pt>
                <c:pt idx="23">
                  <c:v>178923000</c:v>
                </c:pt>
                <c:pt idx="24">
                  <c:v>168044000</c:v>
                </c:pt>
                <c:pt idx="25">
                  <c:v>156520000</c:v>
                </c:pt>
                <c:pt idx="26">
                  <c:v>142631000</c:v>
                </c:pt>
                <c:pt idx="27">
                  <c:v>137127000</c:v>
                </c:pt>
              </c:numCache>
            </c:numRef>
          </c:val>
          <c:extLst xmlns:c16r2="http://schemas.microsoft.com/office/drawing/2015/06/chart">
            <c:ext xmlns:c16="http://schemas.microsoft.com/office/drawing/2014/chart" uri="{C3380CC4-5D6E-409C-BE32-E72D297353CC}">
              <c16:uniqueId val="{00000004-3696-45F8-A69C-37A09D74DED7}"/>
            </c:ext>
          </c:extLst>
        </c:ser>
        <c:ser>
          <c:idx val="5"/>
          <c:order val="5"/>
          <c:tx>
            <c:v>V - BP bio</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5-2019'!$D$59:$AE$59</c:f>
              <c:numCache>
                <c:formatCode>General</c:formatCode>
                <c:ptCount val="28"/>
                <c:pt idx="0">
                  <c:v>0</c:v>
                </c:pt>
                <c:pt idx="1">
                  <c:v>0</c:v>
                </c:pt>
                <c:pt idx="2">
                  <c:v>1569000</c:v>
                </c:pt>
                <c:pt idx="3">
                  <c:v>2563500</c:v>
                </c:pt>
                <c:pt idx="4">
                  <c:v>3868000</c:v>
                </c:pt>
                <c:pt idx="5">
                  <c:v>5485000</c:v>
                </c:pt>
                <c:pt idx="6">
                  <c:v>9089500</c:v>
                </c:pt>
                <c:pt idx="7">
                  <c:v>14049225</c:v>
                </c:pt>
                <c:pt idx="8">
                  <c:v>17780000</c:v>
                </c:pt>
                <c:pt idx="9">
                  <c:v>21081500</c:v>
                </c:pt>
                <c:pt idx="10">
                  <c:v>24720000</c:v>
                </c:pt>
                <c:pt idx="11">
                  <c:v>28060500</c:v>
                </c:pt>
                <c:pt idx="12">
                  <c:v>31458000.000000004</c:v>
                </c:pt>
                <c:pt idx="13">
                  <c:v>31927000.000000004</c:v>
                </c:pt>
                <c:pt idx="14">
                  <c:v>32606700.000000004</c:v>
                </c:pt>
                <c:pt idx="15">
                  <c:v>33285000.000000004</c:v>
                </c:pt>
                <c:pt idx="16">
                  <c:v>33868800</c:v>
                </c:pt>
                <c:pt idx="17">
                  <c:v>34482000</c:v>
                </c:pt>
                <c:pt idx="18">
                  <c:v>34027000</c:v>
                </c:pt>
                <c:pt idx="19">
                  <c:v>33222000.000000004</c:v>
                </c:pt>
                <c:pt idx="20">
                  <c:v>32571000.000000004</c:v>
                </c:pt>
                <c:pt idx="21">
                  <c:v>31899000.000000004</c:v>
                </c:pt>
                <c:pt idx="22">
                  <c:v>31248000.000000004</c:v>
                </c:pt>
                <c:pt idx="23">
                  <c:v>29127000.000000004</c:v>
                </c:pt>
                <c:pt idx="24">
                  <c:v>27356000.000000004</c:v>
                </c:pt>
                <c:pt idx="25">
                  <c:v>25480000.000000004</c:v>
                </c:pt>
                <c:pt idx="26">
                  <c:v>23219000.000000004</c:v>
                </c:pt>
                <c:pt idx="27">
                  <c:v>22323000.000000004</c:v>
                </c:pt>
              </c:numCache>
            </c:numRef>
          </c:val>
          <c:extLst xmlns:c16r2="http://schemas.microsoft.com/office/drawing/2015/06/chart">
            <c:ext xmlns:c16="http://schemas.microsoft.com/office/drawing/2014/chart" uri="{C3380CC4-5D6E-409C-BE32-E72D297353CC}">
              <c16:uniqueId val="{00000005-3696-45F8-A69C-37A09D74DED7}"/>
            </c:ext>
          </c:extLst>
        </c:ser>
        <c:dLbls>
          <c:showLegendKey val="0"/>
          <c:showVal val="0"/>
          <c:showCatName val="0"/>
          <c:showSerName val="0"/>
          <c:showPercent val="0"/>
          <c:showBubbleSize val="0"/>
        </c:dLbls>
        <c:gapWidth val="150"/>
        <c:axId val="284472488"/>
        <c:axId val="284181768"/>
      </c:barChart>
      <c:catAx>
        <c:axId val="284472488"/>
        <c:scaling>
          <c:orientation val="minMax"/>
        </c:scaling>
        <c:delete val="0"/>
        <c:axPos val="b"/>
        <c:numFmt formatCode="General" sourceLinked="1"/>
        <c:majorTickMark val="out"/>
        <c:minorTickMark val="none"/>
        <c:tickLblPos val="nextTo"/>
        <c:crossAx val="284181768"/>
        <c:crosses val="autoZero"/>
        <c:auto val="1"/>
        <c:lblAlgn val="ctr"/>
        <c:lblOffset val="100"/>
        <c:tickLblSkip val="3"/>
        <c:noMultiLvlLbl val="0"/>
      </c:catAx>
      <c:valAx>
        <c:axId val="284181768"/>
        <c:scaling>
          <c:orientation val="minMax"/>
        </c:scaling>
        <c:delete val="0"/>
        <c:axPos val="l"/>
        <c:majorGridlines/>
        <c:numFmt formatCode="#,##0" sourceLinked="0"/>
        <c:majorTickMark val="out"/>
        <c:minorTickMark val="none"/>
        <c:tickLblPos val="nextTo"/>
        <c:crossAx val="284472488"/>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5-2019'!$D$64:$AE$64</c:f>
              <c:numCache>
                <c:formatCode>General</c:formatCode>
                <c:ptCount val="28"/>
                <c:pt idx="0">
                  <c:v>71290000</c:v>
                </c:pt>
                <c:pt idx="1">
                  <c:v>76150000</c:v>
                </c:pt>
                <c:pt idx="2">
                  <c:v>79350000</c:v>
                </c:pt>
                <c:pt idx="3">
                  <c:v>78310000</c:v>
                </c:pt>
                <c:pt idx="4">
                  <c:v>83140000</c:v>
                </c:pt>
                <c:pt idx="5">
                  <c:v>67670000</c:v>
                </c:pt>
                <c:pt idx="6">
                  <c:v>46450000</c:v>
                </c:pt>
                <c:pt idx="7">
                  <c:v>63081000</c:v>
                </c:pt>
                <c:pt idx="8">
                  <c:v>81740000</c:v>
                </c:pt>
                <c:pt idx="9">
                  <c:v>104653000</c:v>
                </c:pt>
                <c:pt idx="10">
                  <c:v>126965000</c:v>
                </c:pt>
                <c:pt idx="11">
                  <c:v>138948000</c:v>
                </c:pt>
                <c:pt idx="12">
                  <c:v>123219000</c:v>
                </c:pt>
                <c:pt idx="13">
                  <c:v>130300000</c:v>
                </c:pt>
                <c:pt idx="14">
                  <c:v>143400000</c:v>
                </c:pt>
                <c:pt idx="15">
                  <c:v>159200000</c:v>
                </c:pt>
                <c:pt idx="16">
                  <c:v>173500000</c:v>
                </c:pt>
                <c:pt idx="17">
                  <c:v>172650000</c:v>
                </c:pt>
                <c:pt idx="18">
                  <c:v>168300000</c:v>
                </c:pt>
                <c:pt idx="19">
                  <c:v>163700000</c:v>
                </c:pt>
                <c:pt idx="20">
                  <c:v>148800000</c:v>
                </c:pt>
                <c:pt idx="21">
                  <c:v>131900000</c:v>
                </c:pt>
                <c:pt idx="22">
                  <c:v>107950000</c:v>
                </c:pt>
                <c:pt idx="23">
                  <c:v>75000000</c:v>
                </c:pt>
                <c:pt idx="24">
                  <c:v>51050000</c:v>
                </c:pt>
                <c:pt idx="25">
                  <c:v>17950000</c:v>
                </c:pt>
                <c:pt idx="26">
                  <c:v>0</c:v>
                </c:pt>
                <c:pt idx="27">
                  <c:v>0</c:v>
                </c:pt>
              </c:numCache>
            </c:numRef>
          </c:val>
          <c:extLst xmlns:c16r2="http://schemas.microsoft.com/office/drawing/2015/06/chart">
            <c:ext xmlns:c16="http://schemas.microsoft.com/office/drawing/2014/chart" uri="{C3380CC4-5D6E-409C-BE32-E72D297353CC}">
              <c16:uniqueId val="{00000000-C133-4736-ABCA-15DC262836E5}"/>
            </c:ext>
          </c:extLst>
        </c:ser>
        <c:ser>
          <c:idx val="0"/>
          <c:order val="1"/>
          <c:tx>
            <c:v>bio</c:v>
          </c:tx>
          <c:spPr>
            <a:solidFill>
              <a:srgbClr val="92D050"/>
            </a:solidFill>
          </c:spPr>
          <c:invertIfNegative val="0"/>
          <c:cat>
            <c:numRef>
              <c:f>'[ČPS2222222222 - varianta Vopt_Vreal_BAU - 27.5.2019 - No.xls]verze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'[ČPS2222222222 - varianta Vopt_Vreal_BAU - 27.5.2019 - No.xls]verze 5-2019'!$D$63:$AE$63</c:f>
              <c:numCache>
                <c:formatCode>General</c:formatCode>
                <c:ptCount val="28"/>
                <c:pt idx="0">
                  <c:v>0</c:v>
                </c:pt>
                <c:pt idx="1">
                  <c:v>0</c:v>
                </c:pt>
                <c:pt idx="2" formatCode="#,##0">
                  <c:v>5050000</c:v>
                </c:pt>
                <c:pt idx="3" formatCode="#,##0">
                  <c:v>20190000</c:v>
                </c:pt>
                <c:pt idx="4" formatCode="#,##0">
                  <c:v>40960000</c:v>
                </c:pt>
                <c:pt idx="5" formatCode="#,##0">
                  <c:v>78580000</c:v>
                </c:pt>
                <c:pt idx="6" formatCode="#,##0">
                  <c:v>127050000</c:v>
                </c:pt>
                <c:pt idx="7" formatCode="#,##0">
                  <c:v>142419000</c:v>
                </c:pt>
                <c:pt idx="8" formatCode="#,##0">
                  <c:v>156760000</c:v>
                </c:pt>
                <c:pt idx="9" formatCode="#,##0">
                  <c:v>175847000</c:v>
                </c:pt>
                <c:pt idx="10" formatCode="#,##0">
                  <c:v>198535000</c:v>
                </c:pt>
                <c:pt idx="11" formatCode="#,##0">
                  <c:v>232552000</c:v>
                </c:pt>
                <c:pt idx="12" formatCode="#,##0">
                  <c:v>288681000</c:v>
                </c:pt>
                <c:pt idx="13" formatCode="#,##0">
                  <c:v>310000000</c:v>
                </c:pt>
                <c:pt idx="14" formatCode="#,##0">
                  <c:v>325000000</c:v>
                </c:pt>
                <c:pt idx="15" formatCode="#,##0">
                  <c:v>340000000</c:v>
                </c:pt>
                <c:pt idx="16" formatCode="#,##0">
                  <c:v>360000000</c:v>
                </c:pt>
                <c:pt idx="17" formatCode="#,##0">
                  <c:v>385000000</c:v>
                </c:pt>
                <c:pt idx="18" formatCode="#,##0">
                  <c:v>410000000</c:v>
                </c:pt>
                <c:pt idx="19" formatCode="#,##0">
                  <c:v>440000000</c:v>
                </c:pt>
                <c:pt idx="20" formatCode="#,##0">
                  <c:v>460000000</c:v>
                </c:pt>
                <c:pt idx="21" formatCode="#,##0">
                  <c:v>475000000</c:v>
                </c:pt>
                <c:pt idx="22" formatCode="#,##0">
                  <c:v>500000000</c:v>
                </c:pt>
                <c:pt idx="23" formatCode="#,##0">
                  <c:v>530000000</c:v>
                </c:pt>
                <c:pt idx="24" formatCode="#,##0">
                  <c:v>555000000</c:v>
                </c:pt>
                <c:pt idx="25" formatCode="#,##0">
                  <c:v>585000000</c:v>
                </c:pt>
                <c:pt idx="26" formatCode="#,##0">
                  <c:v>602950000</c:v>
                </c:pt>
                <c:pt idx="27" formatCode="#,##0">
                  <c:v>602950000</c:v>
                </c:pt>
              </c:numCache>
            </c:numRef>
          </c:val>
          <c:extLst xmlns:c16r2="http://schemas.microsoft.com/office/drawing/2015/06/chart">
            <c:ext xmlns:c16="http://schemas.microsoft.com/office/drawing/2014/chart" uri="{C3380CC4-5D6E-409C-BE32-E72D297353CC}">
              <c16:uniqueId val="{00000001-C133-4736-ABCA-15DC262836E5}"/>
            </c:ext>
          </c:extLst>
        </c:ser>
        <c:dLbls>
          <c:showLegendKey val="0"/>
          <c:showVal val="0"/>
          <c:showCatName val="0"/>
          <c:showSerName val="0"/>
          <c:showPercent val="0"/>
          <c:showBubbleSize val="0"/>
        </c:dLbls>
        <c:gapWidth val="150"/>
        <c:overlap val="100"/>
        <c:axId val="284182552"/>
        <c:axId val="284182944"/>
      </c:barChart>
      <c:catAx>
        <c:axId val="284182552"/>
        <c:scaling>
          <c:orientation val="minMax"/>
        </c:scaling>
        <c:delete val="0"/>
        <c:axPos val="b"/>
        <c:numFmt formatCode="General" sourceLinked="1"/>
        <c:majorTickMark val="out"/>
        <c:minorTickMark val="none"/>
        <c:tickLblPos val="nextTo"/>
        <c:crossAx val="284182944"/>
        <c:crosses val="autoZero"/>
        <c:auto val="1"/>
        <c:lblAlgn val="ctr"/>
        <c:lblOffset val="100"/>
        <c:tickLblSkip val="3"/>
        <c:noMultiLvlLbl val="0"/>
      </c:catAx>
      <c:valAx>
        <c:axId val="284182944"/>
        <c:scaling>
          <c:orientation val="minMax"/>
        </c:scaling>
        <c:delete val="0"/>
        <c:axPos val="l"/>
        <c:majorGridlines/>
        <c:numFmt formatCode="#,##0" sourceLinked="0"/>
        <c:majorTickMark val="out"/>
        <c:minorTickMark val="none"/>
        <c:tickLblPos val="nextTo"/>
        <c:crossAx val="284182552"/>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v>CNG + LNG</c:v>
          </c:tx>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5-2019'!$D$68:$AE$68</c:f>
              <c:numCache>
                <c:formatCode>General</c:formatCode>
                <c:ptCount val="28"/>
                <c:pt idx="0">
                  <c:v>71290000</c:v>
                </c:pt>
                <c:pt idx="1">
                  <c:v>75700000</c:v>
                </c:pt>
                <c:pt idx="2">
                  <c:v>78450000</c:v>
                </c:pt>
                <c:pt idx="3">
                  <c:v>76360000</c:v>
                </c:pt>
                <c:pt idx="4">
                  <c:v>79440000</c:v>
                </c:pt>
                <c:pt idx="5">
                  <c:v>63170000</c:v>
                </c:pt>
                <c:pt idx="6">
                  <c:v>39550000</c:v>
                </c:pt>
                <c:pt idx="7">
                  <c:v>53031000</c:v>
                </c:pt>
                <c:pt idx="8">
                  <c:v>68540000</c:v>
                </c:pt>
                <c:pt idx="9">
                  <c:v>89803000</c:v>
                </c:pt>
                <c:pt idx="10">
                  <c:v>107465000</c:v>
                </c:pt>
                <c:pt idx="11">
                  <c:v>114798000</c:v>
                </c:pt>
                <c:pt idx="12">
                  <c:v>95019000</c:v>
                </c:pt>
                <c:pt idx="13">
                  <c:v>99550000</c:v>
                </c:pt>
                <c:pt idx="14">
                  <c:v>105250000</c:v>
                </c:pt>
                <c:pt idx="15">
                  <c:v>114900000</c:v>
                </c:pt>
                <c:pt idx="16">
                  <c:v>124345000</c:v>
                </c:pt>
                <c:pt idx="17">
                  <c:v>116760000</c:v>
                </c:pt>
                <c:pt idx="18">
                  <c:v>109860000</c:v>
                </c:pt>
                <c:pt idx="19">
                  <c:v>99750000</c:v>
                </c:pt>
                <c:pt idx="20">
                  <c:v>86000000</c:v>
                </c:pt>
                <c:pt idx="21">
                  <c:v>71000000</c:v>
                </c:pt>
                <c:pt idx="22">
                  <c:v>46150000</c:v>
                </c:pt>
                <c:pt idx="23">
                  <c:v>0</c:v>
                </c:pt>
                <c:pt idx="24">
                  <c:v>0</c:v>
                </c:pt>
                <c:pt idx="25">
                  <c:v>0</c:v>
                </c:pt>
                <c:pt idx="26">
                  <c:v>0</c:v>
                </c:pt>
                <c:pt idx="27">
                  <c:v>0</c:v>
                </c:pt>
              </c:numCache>
            </c:numRef>
          </c:val>
          <c:extLst xmlns:c16r2="http://schemas.microsoft.com/office/drawing/2015/06/chart">
            <c:ext xmlns:c16="http://schemas.microsoft.com/office/drawing/2014/chart" uri="{C3380CC4-5D6E-409C-BE32-E72D297353CC}">
              <c16:uniqueId val="{00000000-42CB-4C05-85C1-C466E28C2CD9}"/>
            </c:ext>
          </c:extLst>
        </c:ser>
        <c:ser>
          <c:idx val="0"/>
          <c:order val="1"/>
          <c:tx>
            <c:v>bio</c:v>
          </c:tx>
          <c:spPr>
            <a:solidFill>
              <a:srgbClr val="92D050"/>
            </a:solidFill>
          </c:spPr>
          <c:invertIfNegative val="0"/>
          <c:cat>
            <c:numRef>
              <c:f>'verze 5-2019'!$D$36:$AE$36</c:f>
              <c:numCache>
                <c:formatCode>General</c:formatCode>
                <c:ptCount val="28"/>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2042</c:v>
                </c:pt>
                <c:pt idx="24">
                  <c:v>2044</c:v>
                </c:pt>
                <c:pt idx="25">
                  <c:v>2046</c:v>
                </c:pt>
                <c:pt idx="26">
                  <c:v>2048</c:v>
                </c:pt>
                <c:pt idx="27">
                  <c:v>2050</c:v>
                </c:pt>
              </c:numCache>
            </c:numRef>
          </c:cat>
          <c:val>
            <c:numRef>
              <c:f>'verze 5-2019'!$D$67:$AE$67</c:f>
              <c:numCache>
                <c:formatCode>General</c:formatCode>
                <c:ptCount val="28"/>
                <c:pt idx="0">
                  <c:v>0</c:v>
                </c:pt>
                <c:pt idx="1">
                  <c:v>0</c:v>
                </c:pt>
                <c:pt idx="2" formatCode="#,##0">
                  <c:v>5050000</c:v>
                </c:pt>
                <c:pt idx="3" formatCode="#,##0">
                  <c:v>20190000</c:v>
                </c:pt>
                <c:pt idx="4" formatCode="#,##0">
                  <c:v>40960000</c:v>
                </c:pt>
                <c:pt idx="5" formatCode="#,##0">
                  <c:v>78580000</c:v>
                </c:pt>
                <c:pt idx="6" formatCode="#,##0">
                  <c:v>127050000</c:v>
                </c:pt>
                <c:pt idx="7" formatCode="#,##0">
                  <c:v>142419000</c:v>
                </c:pt>
                <c:pt idx="8" formatCode="#,##0">
                  <c:v>156760000</c:v>
                </c:pt>
                <c:pt idx="9" formatCode="#,##0">
                  <c:v>175847000</c:v>
                </c:pt>
                <c:pt idx="10" formatCode="#,##0">
                  <c:v>198535000</c:v>
                </c:pt>
                <c:pt idx="11" formatCode="#,##0">
                  <c:v>232552000</c:v>
                </c:pt>
                <c:pt idx="12" formatCode="#,##0">
                  <c:v>288681000</c:v>
                </c:pt>
                <c:pt idx="13" formatCode="#,##0">
                  <c:v>310000000</c:v>
                </c:pt>
                <c:pt idx="14" formatCode="#,##0">
                  <c:v>325000000</c:v>
                </c:pt>
                <c:pt idx="15" formatCode="#,##0">
                  <c:v>340000000</c:v>
                </c:pt>
                <c:pt idx="16" formatCode="#,##0">
                  <c:v>360000000</c:v>
                </c:pt>
                <c:pt idx="17" formatCode="#,##0">
                  <c:v>385000000</c:v>
                </c:pt>
                <c:pt idx="18" formatCode="#,##0">
                  <c:v>410000000</c:v>
                </c:pt>
                <c:pt idx="19" formatCode="#,##0">
                  <c:v>440000000</c:v>
                </c:pt>
                <c:pt idx="20" formatCode="#,##0">
                  <c:v>460000000</c:v>
                </c:pt>
                <c:pt idx="21" formatCode="#,##0">
                  <c:v>475000000</c:v>
                </c:pt>
                <c:pt idx="22" formatCode="#,##0">
                  <c:v>500000000</c:v>
                </c:pt>
                <c:pt idx="23" formatCode="#,##0">
                  <c:v>542450000</c:v>
                </c:pt>
                <c:pt idx="24" formatCode="#,##0">
                  <c:v>542450000</c:v>
                </c:pt>
                <c:pt idx="25" formatCode="#,##0">
                  <c:v>537932500</c:v>
                </c:pt>
                <c:pt idx="26" formatCode="#,##0">
                  <c:v>537700000</c:v>
                </c:pt>
                <c:pt idx="27" formatCode="#,##0">
                  <c:v>537527500</c:v>
                </c:pt>
              </c:numCache>
            </c:numRef>
          </c:val>
          <c:extLst xmlns:c16r2="http://schemas.microsoft.com/office/drawing/2015/06/chart">
            <c:ext xmlns:c16="http://schemas.microsoft.com/office/drawing/2014/chart" uri="{C3380CC4-5D6E-409C-BE32-E72D297353CC}">
              <c16:uniqueId val="{00000001-42CB-4C05-85C1-C466E28C2CD9}"/>
            </c:ext>
          </c:extLst>
        </c:ser>
        <c:dLbls>
          <c:showLegendKey val="0"/>
          <c:showVal val="0"/>
          <c:showCatName val="0"/>
          <c:showSerName val="0"/>
          <c:showPercent val="0"/>
          <c:showBubbleSize val="0"/>
        </c:dLbls>
        <c:gapWidth val="150"/>
        <c:overlap val="100"/>
        <c:axId val="284759632"/>
        <c:axId val="284760024"/>
      </c:barChart>
      <c:catAx>
        <c:axId val="284759632"/>
        <c:scaling>
          <c:orientation val="minMax"/>
        </c:scaling>
        <c:delete val="0"/>
        <c:axPos val="b"/>
        <c:numFmt formatCode="General" sourceLinked="1"/>
        <c:majorTickMark val="out"/>
        <c:minorTickMark val="none"/>
        <c:tickLblPos val="nextTo"/>
        <c:crossAx val="284760024"/>
        <c:crosses val="autoZero"/>
        <c:auto val="1"/>
        <c:lblAlgn val="ctr"/>
        <c:lblOffset val="100"/>
        <c:tickLblSkip val="3"/>
        <c:noMultiLvlLbl val="0"/>
      </c:catAx>
      <c:valAx>
        <c:axId val="284760024"/>
        <c:scaling>
          <c:orientation val="minMax"/>
          <c:max val="700000000"/>
        </c:scaling>
        <c:delete val="0"/>
        <c:axPos val="l"/>
        <c:majorGridlines/>
        <c:numFmt formatCode="#,##0" sourceLinked="0"/>
        <c:majorTickMark val="out"/>
        <c:minorTickMark val="none"/>
        <c:tickLblPos val="nextTo"/>
        <c:crossAx val="284759632"/>
        <c:crosses val="autoZero"/>
        <c:crossBetween val="between"/>
      </c:valAx>
    </c:plotArea>
    <c:legend>
      <c:legendPos val="r"/>
      <c:layout/>
      <c:overlay val="0"/>
    </c:legend>
    <c:plotVisOnly val="1"/>
    <c:dispBlanksAs val="gap"/>
    <c:showDLblsOverMax val="0"/>
  </c:chart>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E2890A9-FD8C-45BB-95D2-D8B09A46D7BA}" type="doc">
      <dgm:prSet loTypeId="urn:microsoft.com/office/officeart/2005/8/layout/hList6" loCatId="list" qsTypeId="urn:microsoft.com/office/officeart/2005/8/quickstyle/simple1" qsCatId="simple" csTypeId="urn:microsoft.com/office/officeart/2005/8/colors/accent1_2" csCatId="accent1" phldr="1"/>
      <dgm:spPr/>
      <dgm:t>
        <a:bodyPr/>
        <a:lstStyle/>
        <a:p>
          <a:endParaRPr lang="cs-CZ"/>
        </a:p>
      </dgm:t>
    </dgm:pt>
    <dgm:pt modelId="{2AD027D9-1145-4F0C-A492-BB6D1353258B}">
      <dgm:prSet phldrT="[Text]" custT="1"/>
      <dgm:spPr/>
      <dgm:t>
        <a:bodyPr/>
        <a:lstStyle/>
        <a:p>
          <a:pPr>
            <a:spcAft>
              <a:spcPct val="35000"/>
            </a:spcAft>
          </a:pPr>
          <a:r>
            <a:rPr lang="cs-CZ" sz="1200" b="1" dirty="0"/>
            <a:t>IROP (MMR)</a:t>
          </a:r>
        </a:p>
      </dgm:t>
    </dgm:pt>
    <dgm:pt modelId="{58BB29C2-1F0F-4797-B38A-5D749862241A}" type="parTrans" cxnId="{BA81A391-ED93-4F45-A27D-3025D0A55BE6}">
      <dgm:prSet/>
      <dgm:spPr/>
      <dgm:t>
        <a:bodyPr/>
        <a:lstStyle/>
        <a:p>
          <a:endParaRPr lang="cs-CZ"/>
        </a:p>
      </dgm:t>
    </dgm:pt>
    <dgm:pt modelId="{50BD1116-8950-4904-AA5C-58B6B99E684C}" type="sibTrans" cxnId="{BA81A391-ED93-4F45-A27D-3025D0A55BE6}">
      <dgm:prSet/>
      <dgm:spPr/>
      <dgm:t>
        <a:bodyPr/>
        <a:lstStyle/>
        <a:p>
          <a:endParaRPr lang="cs-CZ"/>
        </a:p>
      </dgm:t>
    </dgm:pt>
    <dgm:pt modelId="{CCAD73D5-1C8D-4B34-A114-519575E0BF59}">
      <dgm:prSet phldrT="[Text]" custT="1"/>
      <dgm:spPr/>
      <dgm:t>
        <a:bodyPr/>
        <a:lstStyle/>
        <a:p>
          <a:pPr indent="-36000">
            <a:spcAft>
              <a:spcPts val="0"/>
            </a:spcAft>
          </a:pPr>
          <a:r>
            <a:rPr lang="cs-CZ" sz="1100" dirty="0" smtClean="0"/>
            <a:t>Podpora nákupu CNG </a:t>
          </a:r>
          <a:r>
            <a:rPr lang="cs-CZ" sz="1100" dirty="0"/>
            <a:t>a </a:t>
          </a:r>
          <a:r>
            <a:rPr lang="cs-CZ" sz="1100" dirty="0" smtClean="0"/>
            <a:t>elektro busů a elektrických </a:t>
          </a:r>
          <a:r>
            <a:rPr lang="cs-CZ" sz="1100" dirty="0"/>
            <a:t>kolejových vozidel</a:t>
          </a:r>
        </a:p>
      </dgm:t>
    </dgm:pt>
    <dgm:pt modelId="{D01A3792-04BF-4BF5-A103-8FA532B320FA}" type="parTrans" cxnId="{D905870F-11E6-47E2-A3EE-00E83D1A1DCC}">
      <dgm:prSet/>
      <dgm:spPr/>
      <dgm:t>
        <a:bodyPr/>
        <a:lstStyle/>
        <a:p>
          <a:endParaRPr lang="cs-CZ"/>
        </a:p>
      </dgm:t>
    </dgm:pt>
    <dgm:pt modelId="{B3D2A331-2916-4FF5-A649-E7E0EC4C336A}" type="sibTrans" cxnId="{D905870F-11E6-47E2-A3EE-00E83D1A1DCC}">
      <dgm:prSet/>
      <dgm:spPr/>
      <dgm:t>
        <a:bodyPr/>
        <a:lstStyle/>
        <a:p>
          <a:endParaRPr lang="cs-CZ"/>
        </a:p>
      </dgm:t>
    </dgm:pt>
    <dgm:pt modelId="{CAE0B1FE-729D-481C-A7B4-2E769E46C19F}">
      <dgm:prSet phldrT="[Text]" custT="1"/>
      <dgm:spPr/>
      <dgm:t>
        <a:bodyPr/>
        <a:lstStyle/>
        <a:p>
          <a:pPr>
            <a:spcAft>
              <a:spcPct val="35000"/>
            </a:spcAft>
          </a:pPr>
          <a:r>
            <a:rPr lang="cs-CZ" sz="1200" b="1" dirty="0"/>
            <a:t>OPD (MD)</a:t>
          </a:r>
        </a:p>
      </dgm:t>
    </dgm:pt>
    <dgm:pt modelId="{E9E74F91-B882-43A0-B44F-ECB5D1329BF3}" type="parTrans" cxnId="{9EECB280-FE4C-4F66-A4DF-975C3B301168}">
      <dgm:prSet/>
      <dgm:spPr/>
      <dgm:t>
        <a:bodyPr/>
        <a:lstStyle/>
        <a:p>
          <a:endParaRPr lang="cs-CZ"/>
        </a:p>
      </dgm:t>
    </dgm:pt>
    <dgm:pt modelId="{B055F732-7260-4E72-938C-A6683F3A7BB3}" type="sibTrans" cxnId="{9EECB280-FE4C-4F66-A4DF-975C3B301168}">
      <dgm:prSet/>
      <dgm:spPr/>
      <dgm:t>
        <a:bodyPr/>
        <a:lstStyle/>
        <a:p>
          <a:endParaRPr lang="cs-CZ"/>
        </a:p>
      </dgm:t>
    </dgm:pt>
    <dgm:pt modelId="{E721144E-4236-427A-A4E2-26263EF02B75}">
      <dgm:prSet phldrT="[Text]" custT="1"/>
      <dgm:spPr/>
      <dgm:t>
        <a:bodyPr/>
        <a:lstStyle/>
        <a:p>
          <a:pPr indent="-36000">
            <a:spcAft>
              <a:spcPts val="0"/>
            </a:spcAft>
          </a:pPr>
          <a:r>
            <a:rPr lang="cs-CZ" sz="1100" dirty="0" smtClean="0"/>
            <a:t>Podpora veřejné infrastruktury </a:t>
          </a:r>
          <a:r>
            <a:rPr lang="cs-CZ" sz="1100" dirty="0"/>
            <a:t>dobíjecích stanic </a:t>
          </a:r>
          <a:r>
            <a:rPr lang="cs-CZ" sz="1100" dirty="0" smtClean="0"/>
            <a:t>pro EV / CNG / LNG a </a:t>
          </a:r>
          <a:r>
            <a:rPr lang="cs-CZ" sz="1100" dirty="0"/>
            <a:t>vodík</a:t>
          </a:r>
        </a:p>
      </dgm:t>
    </dgm:pt>
    <dgm:pt modelId="{1324CFB2-F65A-4C72-9E09-81E4BB80EBB7}" type="parTrans" cxnId="{1D9D9B80-D907-4605-9AE8-F2ED7052C05A}">
      <dgm:prSet/>
      <dgm:spPr/>
      <dgm:t>
        <a:bodyPr/>
        <a:lstStyle/>
        <a:p>
          <a:endParaRPr lang="cs-CZ"/>
        </a:p>
      </dgm:t>
    </dgm:pt>
    <dgm:pt modelId="{BB3901FA-CF71-4DA2-87B6-67249AFD233E}" type="sibTrans" cxnId="{1D9D9B80-D907-4605-9AE8-F2ED7052C05A}">
      <dgm:prSet/>
      <dgm:spPr/>
      <dgm:t>
        <a:bodyPr/>
        <a:lstStyle/>
        <a:p>
          <a:endParaRPr lang="cs-CZ"/>
        </a:p>
      </dgm:t>
    </dgm:pt>
    <dgm:pt modelId="{F36E0C5F-CBB3-487A-B7B7-9F4B219E0152}">
      <dgm:prSet phldrT="[Text]" custT="1"/>
      <dgm:spPr/>
      <dgm:t>
        <a:bodyPr/>
        <a:lstStyle/>
        <a:p>
          <a:pPr indent="-36000">
            <a:spcAft>
              <a:spcPts val="0"/>
            </a:spcAft>
          </a:pPr>
          <a:r>
            <a:rPr lang="cs-CZ" sz="1100" dirty="0" smtClean="0"/>
            <a:t>Příjemci:</a:t>
          </a:r>
          <a:endParaRPr lang="cs-CZ" sz="1100" dirty="0"/>
        </a:p>
      </dgm:t>
    </dgm:pt>
    <dgm:pt modelId="{345FA2A8-C997-4E18-AB3F-BA2D16C652DF}" type="parTrans" cxnId="{A2E2F5A9-DE40-4553-B193-E27F8A7D5F8D}">
      <dgm:prSet/>
      <dgm:spPr/>
      <dgm:t>
        <a:bodyPr/>
        <a:lstStyle/>
        <a:p>
          <a:endParaRPr lang="cs-CZ"/>
        </a:p>
      </dgm:t>
    </dgm:pt>
    <dgm:pt modelId="{7E205F9E-690D-407F-B943-32F6751419AC}" type="sibTrans" cxnId="{A2E2F5A9-DE40-4553-B193-E27F8A7D5F8D}">
      <dgm:prSet/>
      <dgm:spPr/>
      <dgm:t>
        <a:bodyPr/>
        <a:lstStyle/>
        <a:p>
          <a:endParaRPr lang="cs-CZ"/>
        </a:p>
      </dgm:t>
    </dgm:pt>
    <dgm:pt modelId="{B83752C1-B8B9-4EEB-A70D-D4E606781BC4}">
      <dgm:prSet phldrT="[Text]" custT="1"/>
      <dgm:spPr/>
      <dgm:t>
        <a:bodyPr/>
        <a:lstStyle/>
        <a:p>
          <a:r>
            <a:rPr lang="cs-CZ" sz="1200" b="1" dirty="0"/>
            <a:t>OPPIK (MPO)</a:t>
          </a:r>
        </a:p>
      </dgm:t>
    </dgm:pt>
    <dgm:pt modelId="{3276012A-0E26-4E02-9450-3B88AF07DABE}" type="parTrans" cxnId="{7184174A-7BE8-4C24-8826-8319E812CC99}">
      <dgm:prSet/>
      <dgm:spPr/>
      <dgm:t>
        <a:bodyPr/>
        <a:lstStyle/>
        <a:p>
          <a:endParaRPr lang="cs-CZ"/>
        </a:p>
      </dgm:t>
    </dgm:pt>
    <dgm:pt modelId="{B5E8F89A-40CF-40F6-8C63-D1230ED1994A}" type="sibTrans" cxnId="{7184174A-7BE8-4C24-8826-8319E812CC99}">
      <dgm:prSet/>
      <dgm:spPr/>
      <dgm:t>
        <a:bodyPr/>
        <a:lstStyle/>
        <a:p>
          <a:endParaRPr lang="cs-CZ"/>
        </a:p>
      </dgm:t>
    </dgm:pt>
    <dgm:pt modelId="{D84846D3-5ABA-4F13-A50A-37C1D0D17E8F}">
      <dgm:prSet phldrT="[Text]" custT="1"/>
      <dgm:spPr/>
      <dgm:t>
        <a:bodyPr/>
        <a:lstStyle/>
        <a:p>
          <a:r>
            <a:rPr lang="cs-CZ" sz="1100" dirty="0"/>
            <a:t>Podpora </a:t>
          </a:r>
          <a:r>
            <a:rPr lang="cs-CZ" sz="1100" dirty="0" smtClean="0"/>
            <a:t>nákupu</a:t>
          </a:r>
          <a:r>
            <a:rPr lang="en-US" sz="1100" dirty="0" smtClean="0"/>
            <a:t> E</a:t>
          </a:r>
          <a:r>
            <a:rPr lang="cs-CZ" sz="1100" dirty="0" smtClean="0"/>
            <a:t>V a pořízení dobíjecích stanic</a:t>
          </a:r>
          <a:endParaRPr lang="cs-CZ" sz="1100" dirty="0"/>
        </a:p>
      </dgm:t>
    </dgm:pt>
    <dgm:pt modelId="{67AD85E7-112C-471B-BB31-C7F06B146AD6}" type="parTrans" cxnId="{C3AC367A-16CC-4178-9554-CD65CB20DDD4}">
      <dgm:prSet/>
      <dgm:spPr/>
      <dgm:t>
        <a:bodyPr/>
        <a:lstStyle/>
        <a:p>
          <a:endParaRPr lang="cs-CZ"/>
        </a:p>
      </dgm:t>
    </dgm:pt>
    <dgm:pt modelId="{CB65F6E8-C334-4638-8E50-C9EF3771B99E}" type="sibTrans" cxnId="{C3AC367A-16CC-4178-9554-CD65CB20DDD4}">
      <dgm:prSet/>
      <dgm:spPr/>
      <dgm:t>
        <a:bodyPr/>
        <a:lstStyle/>
        <a:p>
          <a:endParaRPr lang="cs-CZ"/>
        </a:p>
      </dgm:t>
    </dgm:pt>
    <dgm:pt modelId="{B5DB0F66-8861-4DE9-8234-81CB028F0B33}">
      <dgm:prSet phldrT="[Text]" custT="1"/>
      <dgm:spPr/>
      <dgm:t>
        <a:bodyPr/>
        <a:lstStyle/>
        <a:p>
          <a:r>
            <a:rPr lang="cs-CZ" sz="1100" dirty="0" smtClean="0"/>
            <a:t>Příjemci:</a:t>
          </a:r>
          <a:endParaRPr lang="cs-CZ" sz="1100" dirty="0"/>
        </a:p>
      </dgm:t>
    </dgm:pt>
    <dgm:pt modelId="{EFCF97E2-D1D7-47FD-BF77-2D8D4AD37836}" type="parTrans" cxnId="{D8F4E9A4-95B6-42FD-BCC6-783E3D8530BF}">
      <dgm:prSet/>
      <dgm:spPr/>
      <dgm:t>
        <a:bodyPr/>
        <a:lstStyle/>
        <a:p>
          <a:endParaRPr lang="cs-CZ"/>
        </a:p>
      </dgm:t>
    </dgm:pt>
    <dgm:pt modelId="{4DBC46D7-C672-4E79-BF2D-F03008A31300}" type="sibTrans" cxnId="{D8F4E9A4-95B6-42FD-BCC6-783E3D8530BF}">
      <dgm:prSet/>
      <dgm:spPr/>
      <dgm:t>
        <a:bodyPr/>
        <a:lstStyle/>
        <a:p>
          <a:endParaRPr lang="cs-CZ"/>
        </a:p>
      </dgm:t>
    </dgm:pt>
    <dgm:pt modelId="{B6117C91-9590-4304-AB3E-3D33D0DC0665}">
      <dgm:prSet phldrT="[Text]" custT="1"/>
      <dgm:spPr/>
      <dgm:t>
        <a:bodyPr/>
        <a:lstStyle/>
        <a:p>
          <a:pPr indent="-36000">
            <a:spcAft>
              <a:spcPts val="0"/>
            </a:spcAft>
          </a:pPr>
          <a:r>
            <a:rPr lang="cs-CZ" sz="1100" dirty="0" smtClean="0"/>
            <a:t>Příjemci:</a:t>
          </a:r>
          <a:endParaRPr lang="cs-CZ" sz="1100" dirty="0"/>
        </a:p>
      </dgm:t>
    </dgm:pt>
    <dgm:pt modelId="{73962A5D-583E-42AE-B9C6-7078E9A3927A}" type="parTrans" cxnId="{ECC40B77-6125-40D7-AB4F-1CCF2D831D43}">
      <dgm:prSet/>
      <dgm:spPr/>
      <dgm:t>
        <a:bodyPr/>
        <a:lstStyle/>
        <a:p>
          <a:endParaRPr lang="cs-CZ"/>
        </a:p>
      </dgm:t>
    </dgm:pt>
    <dgm:pt modelId="{17A9E9F7-A65B-4E47-AC6C-659021DD03BA}" type="sibTrans" cxnId="{ECC40B77-6125-40D7-AB4F-1CCF2D831D43}">
      <dgm:prSet/>
      <dgm:spPr/>
      <dgm:t>
        <a:bodyPr/>
        <a:lstStyle/>
        <a:p>
          <a:endParaRPr lang="cs-CZ"/>
        </a:p>
      </dgm:t>
    </dgm:pt>
    <dgm:pt modelId="{6E6E2AF6-9D2D-466B-8770-6851933AC087}">
      <dgm:prSet custT="1"/>
      <dgm:spPr>
        <a:solidFill>
          <a:srgbClr val="7BC143"/>
        </a:solidFill>
      </dgm:spPr>
      <dgm:t>
        <a:bodyPr/>
        <a:lstStyle/>
        <a:p>
          <a:r>
            <a:rPr lang="cs-CZ" sz="1200" b="1" dirty="0"/>
            <a:t>NPŽP (MŽP)</a:t>
          </a:r>
        </a:p>
      </dgm:t>
    </dgm:pt>
    <dgm:pt modelId="{01F5A0C8-4702-432F-B6CD-B09B98E5B2B5}" type="sibTrans" cxnId="{7821B50A-D369-4A74-826A-4C9A4FDA1585}">
      <dgm:prSet/>
      <dgm:spPr/>
      <dgm:t>
        <a:bodyPr/>
        <a:lstStyle/>
        <a:p>
          <a:endParaRPr lang="cs-CZ"/>
        </a:p>
      </dgm:t>
    </dgm:pt>
    <dgm:pt modelId="{2A64C063-3B19-47B3-80BF-477F6B1566AF}" type="parTrans" cxnId="{7821B50A-D369-4A74-826A-4C9A4FDA1585}">
      <dgm:prSet/>
      <dgm:spPr/>
      <dgm:t>
        <a:bodyPr/>
        <a:lstStyle/>
        <a:p>
          <a:endParaRPr lang="cs-CZ"/>
        </a:p>
      </dgm:t>
    </dgm:pt>
    <dgm:pt modelId="{E223A6A4-B0D3-4138-BA3A-2FBC00C663D7}">
      <dgm:prSet custT="1"/>
      <dgm:spPr>
        <a:solidFill>
          <a:srgbClr val="7BC143"/>
        </a:solidFill>
      </dgm:spPr>
      <dgm:t>
        <a:bodyPr/>
        <a:lstStyle/>
        <a:p>
          <a:r>
            <a:rPr lang="cs-CZ" sz="1100" dirty="0"/>
            <a:t>Podpora nákupu </a:t>
          </a:r>
          <a:r>
            <a:rPr lang="en-US" sz="1100" dirty="0" smtClean="0"/>
            <a:t>E</a:t>
          </a:r>
          <a:r>
            <a:rPr lang="cs-CZ" sz="1100" dirty="0" smtClean="0"/>
            <a:t>V</a:t>
          </a:r>
          <a:r>
            <a:rPr lang="en-US" sz="1100" dirty="0" smtClean="0"/>
            <a:t>,</a:t>
          </a:r>
          <a:r>
            <a:rPr lang="cs-CZ" sz="1100" dirty="0" smtClean="0"/>
            <a:t> PHEV a </a:t>
          </a:r>
          <a:r>
            <a:rPr lang="cs-CZ" sz="1100" dirty="0"/>
            <a:t>CNG</a:t>
          </a:r>
        </a:p>
      </dgm:t>
    </dgm:pt>
    <dgm:pt modelId="{1AB02084-AC94-4AFF-AFD1-93BFE7C48C18}" type="parTrans" cxnId="{E7DC0C6E-A901-4488-A2DA-8C4752EBCA05}">
      <dgm:prSet/>
      <dgm:spPr/>
      <dgm:t>
        <a:bodyPr/>
        <a:lstStyle/>
        <a:p>
          <a:endParaRPr lang="cs-CZ"/>
        </a:p>
      </dgm:t>
    </dgm:pt>
    <dgm:pt modelId="{59F09FE2-8C96-4DAB-BD03-BEA5051AC9EC}" type="sibTrans" cxnId="{E7DC0C6E-A901-4488-A2DA-8C4752EBCA05}">
      <dgm:prSet/>
      <dgm:spPr/>
      <dgm:t>
        <a:bodyPr/>
        <a:lstStyle/>
        <a:p>
          <a:endParaRPr lang="cs-CZ"/>
        </a:p>
      </dgm:t>
    </dgm:pt>
    <dgm:pt modelId="{8383851C-F94F-404B-BE8A-ADE382D02A5A}">
      <dgm:prSet custT="1"/>
      <dgm:spPr>
        <a:solidFill>
          <a:srgbClr val="7BC143"/>
        </a:solidFill>
      </dgm:spPr>
      <dgm:t>
        <a:bodyPr/>
        <a:lstStyle/>
        <a:p>
          <a:r>
            <a:rPr lang="cs-CZ" sz="1100" dirty="0" smtClean="0"/>
            <a:t>Příjemci:</a:t>
          </a:r>
          <a:endParaRPr lang="cs-CZ" sz="1100" dirty="0"/>
        </a:p>
      </dgm:t>
    </dgm:pt>
    <dgm:pt modelId="{6DE3196E-8BDE-4976-97DA-7605C4D6088D}" type="parTrans" cxnId="{3323237A-7B89-4C0E-B7F5-16850DE20CC6}">
      <dgm:prSet/>
      <dgm:spPr/>
      <dgm:t>
        <a:bodyPr/>
        <a:lstStyle/>
        <a:p>
          <a:endParaRPr lang="cs-CZ"/>
        </a:p>
      </dgm:t>
    </dgm:pt>
    <dgm:pt modelId="{16AFD439-44D8-433D-B104-E42ACDE29B78}" type="sibTrans" cxnId="{3323237A-7B89-4C0E-B7F5-16850DE20CC6}">
      <dgm:prSet/>
      <dgm:spPr/>
      <dgm:t>
        <a:bodyPr/>
        <a:lstStyle/>
        <a:p>
          <a:endParaRPr lang="cs-CZ"/>
        </a:p>
      </dgm:t>
    </dgm:pt>
    <dgm:pt modelId="{2C1A8518-04B1-4229-9990-A8B8B0963A9C}">
      <dgm:prSet custT="1"/>
      <dgm:spPr>
        <a:solidFill>
          <a:srgbClr val="7BC143"/>
        </a:solidFill>
      </dgm:spPr>
      <dgm:t>
        <a:bodyPr/>
        <a:lstStyle/>
        <a:p>
          <a:r>
            <a:rPr lang="cs-CZ" sz="1100" dirty="0" smtClean="0"/>
            <a:t>Osvěta</a:t>
          </a:r>
          <a:endParaRPr lang="cs-CZ" sz="1100" dirty="0"/>
        </a:p>
      </dgm:t>
    </dgm:pt>
    <dgm:pt modelId="{DB6C52E4-1782-4220-93BE-EEDED5BCC61C}" type="parTrans" cxnId="{949C8C2A-7169-4546-AED6-6FB65BFFADAD}">
      <dgm:prSet/>
      <dgm:spPr/>
      <dgm:t>
        <a:bodyPr/>
        <a:lstStyle/>
        <a:p>
          <a:endParaRPr lang="cs-CZ"/>
        </a:p>
      </dgm:t>
    </dgm:pt>
    <dgm:pt modelId="{DC677258-8D3D-4DAB-935E-D2A8613716CE}" type="sibTrans" cxnId="{949C8C2A-7169-4546-AED6-6FB65BFFADAD}">
      <dgm:prSet/>
      <dgm:spPr/>
      <dgm:t>
        <a:bodyPr/>
        <a:lstStyle/>
        <a:p>
          <a:endParaRPr lang="cs-CZ"/>
        </a:p>
      </dgm:t>
    </dgm:pt>
    <dgm:pt modelId="{8978AEBD-097B-48E3-A2AD-2583B2D0144D}">
      <dgm:prSet phldrT="[Text]" custT="1"/>
      <dgm:spPr/>
      <dgm:t>
        <a:bodyPr/>
        <a:lstStyle/>
        <a:p>
          <a:r>
            <a:rPr lang="cs-CZ" sz="1100" dirty="0" smtClean="0"/>
            <a:t>podniky mimo Prahu</a:t>
          </a:r>
          <a:endParaRPr lang="cs-CZ" sz="1100" dirty="0"/>
        </a:p>
      </dgm:t>
    </dgm:pt>
    <dgm:pt modelId="{227BFC1D-4437-4D1F-AF5E-EE31CC58524B}" type="parTrans" cxnId="{560B82A6-6985-474C-A235-EFBFF4A3AB3A}">
      <dgm:prSet/>
      <dgm:spPr/>
      <dgm:t>
        <a:bodyPr/>
        <a:lstStyle/>
        <a:p>
          <a:endParaRPr lang="cs-CZ"/>
        </a:p>
      </dgm:t>
    </dgm:pt>
    <dgm:pt modelId="{627DFD0A-B48D-4666-B8C5-421C7439D18B}" type="sibTrans" cxnId="{560B82A6-6985-474C-A235-EFBFF4A3AB3A}">
      <dgm:prSet/>
      <dgm:spPr/>
      <dgm:t>
        <a:bodyPr/>
        <a:lstStyle/>
        <a:p>
          <a:endParaRPr lang="cs-CZ"/>
        </a:p>
      </dgm:t>
    </dgm:pt>
    <dgm:pt modelId="{C79A0FD5-595F-4697-B9A9-7F8D995BECED}">
      <dgm:prSet phldrT="[Text]" custT="1"/>
      <dgm:spPr/>
      <dgm:t>
        <a:bodyPr/>
        <a:lstStyle/>
        <a:p>
          <a:pPr indent="-36000">
            <a:spcAft>
              <a:spcPts val="0"/>
            </a:spcAft>
          </a:pPr>
          <a:r>
            <a:rPr lang="cs-CZ" sz="1100" dirty="0" smtClean="0"/>
            <a:t>provozovatelé </a:t>
          </a:r>
          <a:r>
            <a:rPr lang="cs-CZ" sz="1200" dirty="0" smtClean="0"/>
            <a:t>dobíjecích stanic</a:t>
          </a:r>
          <a:endParaRPr lang="cs-CZ" sz="1200" dirty="0"/>
        </a:p>
      </dgm:t>
    </dgm:pt>
    <dgm:pt modelId="{95C28B1A-BCEC-4E0B-9885-44DF4BB54D95}" type="parTrans" cxnId="{5A394DED-8806-4C5F-BEB8-52EF8E5D99E0}">
      <dgm:prSet/>
      <dgm:spPr/>
      <dgm:t>
        <a:bodyPr/>
        <a:lstStyle/>
        <a:p>
          <a:endParaRPr lang="cs-CZ"/>
        </a:p>
      </dgm:t>
    </dgm:pt>
    <dgm:pt modelId="{F9679E47-1AB8-4C1F-A432-16E047B59B1E}" type="sibTrans" cxnId="{5A394DED-8806-4C5F-BEB8-52EF8E5D99E0}">
      <dgm:prSet/>
      <dgm:spPr/>
      <dgm:t>
        <a:bodyPr/>
        <a:lstStyle/>
        <a:p>
          <a:endParaRPr lang="cs-CZ"/>
        </a:p>
      </dgm:t>
    </dgm:pt>
    <dgm:pt modelId="{571B46D6-51DF-442B-8FB9-EEFCB6C95D84}">
      <dgm:prSet phldrT="[Text]" custT="1"/>
      <dgm:spPr/>
      <dgm:t>
        <a:bodyPr/>
        <a:lstStyle/>
        <a:p>
          <a:pPr indent="-36000">
            <a:spcAft>
              <a:spcPts val="0"/>
            </a:spcAft>
          </a:pPr>
          <a:r>
            <a:rPr lang="cs-CZ" sz="1100" dirty="0" smtClean="0"/>
            <a:t>veřejné </a:t>
          </a:r>
          <a:r>
            <a:rPr lang="cs-CZ" sz="1100" dirty="0"/>
            <a:t>DP</a:t>
          </a:r>
        </a:p>
      </dgm:t>
    </dgm:pt>
    <dgm:pt modelId="{3883B29C-8089-48FB-974D-F1D85E72BE39}" type="parTrans" cxnId="{A7EDC19B-2133-4F65-A5D8-F3B53791DBAF}">
      <dgm:prSet/>
      <dgm:spPr/>
      <dgm:t>
        <a:bodyPr/>
        <a:lstStyle/>
        <a:p>
          <a:endParaRPr lang="cs-CZ"/>
        </a:p>
      </dgm:t>
    </dgm:pt>
    <dgm:pt modelId="{F6A6881D-38E0-4249-A94B-DCB4B245F3CB}" type="sibTrans" cxnId="{A7EDC19B-2133-4F65-A5D8-F3B53791DBAF}">
      <dgm:prSet/>
      <dgm:spPr/>
      <dgm:t>
        <a:bodyPr/>
        <a:lstStyle/>
        <a:p>
          <a:endParaRPr lang="cs-CZ"/>
        </a:p>
      </dgm:t>
    </dgm:pt>
    <dgm:pt modelId="{3B7E1D17-14D9-4979-92E9-A066F95CC724}">
      <dgm:prSet custT="1"/>
      <dgm:spPr>
        <a:solidFill>
          <a:srgbClr val="7BC143"/>
        </a:solidFill>
      </dgm:spPr>
      <dgm:t>
        <a:bodyPr/>
        <a:lstStyle/>
        <a:p>
          <a:r>
            <a:rPr lang="cs-CZ" sz="1100" dirty="0" smtClean="0"/>
            <a:t>Obce, kraje</a:t>
          </a:r>
          <a:endParaRPr lang="cs-CZ" sz="1100" dirty="0"/>
        </a:p>
      </dgm:t>
    </dgm:pt>
    <dgm:pt modelId="{3373C808-9F35-4CDF-82AB-8DF7B42DAE31}" type="parTrans" cxnId="{2459E3E4-C787-4146-92D3-8E5437D5D5E2}">
      <dgm:prSet/>
      <dgm:spPr/>
      <dgm:t>
        <a:bodyPr/>
        <a:lstStyle/>
        <a:p>
          <a:endParaRPr lang="cs-CZ"/>
        </a:p>
      </dgm:t>
    </dgm:pt>
    <dgm:pt modelId="{BFD6650B-7059-44AF-B6CF-11B933DF8F19}" type="sibTrans" cxnId="{2459E3E4-C787-4146-92D3-8E5437D5D5E2}">
      <dgm:prSet/>
      <dgm:spPr/>
      <dgm:t>
        <a:bodyPr/>
        <a:lstStyle/>
        <a:p>
          <a:endParaRPr lang="cs-CZ"/>
        </a:p>
      </dgm:t>
    </dgm:pt>
    <dgm:pt modelId="{AEF11944-0C42-4A69-A578-4298D8326F43}">
      <dgm:prSet custT="1"/>
      <dgm:spPr>
        <a:solidFill>
          <a:srgbClr val="7BC143"/>
        </a:solidFill>
      </dgm:spPr>
      <dgm:t>
        <a:bodyPr/>
        <a:lstStyle/>
        <a:p>
          <a:r>
            <a:rPr lang="cs-CZ" sz="1100" dirty="0" smtClean="0"/>
            <a:t>organizace jimi zřízené </a:t>
          </a:r>
          <a:endParaRPr lang="cs-CZ" sz="1100" dirty="0"/>
        </a:p>
      </dgm:t>
    </dgm:pt>
    <dgm:pt modelId="{DAC2EC47-E7A0-4FAD-A27A-A2796FDC6BCE}" type="parTrans" cxnId="{450913A8-5F12-4BE4-842B-20E9A6308AE0}">
      <dgm:prSet/>
      <dgm:spPr/>
      <dgm:t>
        <a:bodyPr/>
        <a:lstStyle/>
        <a:p>
          <a:endParaRPr lang="cs-CZ"/>
        </a:p>
      </dgm:t>
    </dgm:pt>
    <dgm:pt modelId="{E9C0EE1D-35AB-4EF5-96A3-8F525EDC32C1}" type="sibTrans" cxnId="{450913A8-5F12-4BE4-842B-20E9A6308AE0}">
      <dgm:prSet/>
      <dgm:spPr/>
      <dgm:t>
        <a:bodyPr/>
        <a:lstStyle/>
        <a:p>
          <a:endParaRPr lang="cs-CZ"/>
        </a:p>
      </dgm:t>
    </dgm:pt>
    <dgm:pt modelId="{C46CFCAC-82EB-4413-A575-3FE5F50A034F}">
      <dgm:prSet phldrT="[Text]" custT="1"/>
      <dgm:spPr/>
      <dgm:t>
        <a:bodyPr/>
        <a:lstStyle/>
        <a:p>
          <a:r>
            <a:rPr lang="cs-CZ" sz="1200" b="1" dirty="0" smtClean="0"/>
            <a:t>Praha OPPPR</a:t>
          </a:r>
          <a:endParaRPr lang="cs-CZ" sz="1200" b="1" dirty="0"/>
        </a:p>
      </dgm:t>
    </dgm:pt>
    <dgm:pt modelId="{343CAA96-CB09-4003-A040-4D4DEBF974EC}" type="sibTrans" cxnId="{DE9ADE3C-BDAA-4C8B-BE74-DF33500B68BA}">
      <dgm:prSet/>
      <dgm:spPr/>
      <dgm:t>
        <a:bodyPr/>
        <a:lstStyle/>
        <a:p>
          <a:endParaRPr lang="cs-CZ"/>
        </a:p>
      </dgm:t>
    </dgm:pt>
    <dgm:pt modelId="{2C27D19D-4356-4E79-AA32-5CD6DA426E58}" type="parTrans" cxnId="{DE9ADE3C-BDAA-4C8B-BE74-DF33500B68BA}">
      <dgm:prSet/>
      <dgm:spPr/>
      <dgm:t>
        <a:bodyPr/>
        <a:lstStyle/>
        <a:p>
          <a:endParaRPr lang="cs-CZ"/>
        </a:p>
      </dgm:t>
    </dgm:pt>
    <dgm:pt modelId="{5781BC16-4FDD-4F56-8C89-1D65E7155695}">
      <dgm:prSet phldrT="[Text]" custT="1"/>
      <dgm:spPr/>
      <dgm:t>
        <a:bodyPr/>
        <a:lstStyle/>
        <a:p>
          <a:r>
            <a:rPr lang="cs-CZ" sz="1100" dirty="0" smtClean="0"/>
            <a:t>Podpora nákupu elektro busů – 2019.</a:t>
          </a:r>
          <a:endParaRPr lang="cs-CZ" sz="1100" dirty="0"/>
        </a:p>
      </dgm:t>
    </dgm:pt>
    <dgm:pt modelId="{9D585E09-962E-4E8B-96C7-E9B105E62947}" type="sibTrans" cxnId="{9B1221E4-A855-427A-A661-19BC3FCF9D83}">
      <dgm:prSet/>
      <dgm:spPr/>
      <dgm:t>
        <a:bodyPr/>
        <a:lstStyle/>
        <a:p>
          <a:endParaRPr lang="cs-CZ"/>
        </a:p>
      </dgm:t>
    </dgm:pt>
    <dgm:pt modelId="{74F77422-1AF0-468F-8A18-A40FF50163A3}" type="parTrans" cxnId="{9B1221E4-A855-427A-A661-19BC3FCF9D83}">
      <dgm:prSet/>
      <dgm:spPr/>
      <dgm:t>
        <a:bodyPr/>
        <a:lstStyle/>
        <a:p>
          <a:endParaRPr lang="cs-CZ"/>
        </a:p>
      </dgm:t>
    </dgm:pt>
    <dgm:pt modelId="{6EF8F290-585C-467F-8A36-CA9101B2448D}">
      <dgm:prSet phldrT="[Text]" custT="1"/>
      <dgm:spPr/>
      <dgm:t>
        <a:bodyPr/>
        <a:lstStyle/>
        <a:p>
          <a:r>
            <a:rPr lang="cs-CZ" sz="1100" dirty="0" smtClean="0"/>
            <a:t>DP Praha</a:t>
          </a:r>
          <a:endParaRPr lang="cs-CZ" sz="1100" dirty="0"/>
        </a:p>
      </dgm:t>
    </dgm:pt>
    <dgm:pt modelId="{77E87963-D000-40BD-BBE8-DA609D364E97}" type="sibTrans" cxnId="{44CA7D33-6DF9-4408-A0AA-6991FE893D26}">
      <dgm:prSet/>
      <dgm:spPr/>
      <dgm:t>
        <a:bodyPr/>
        <a:lstStyle/>
        <a:p>
          <a:endParaRPr lang="cs-CZ"/>
        </a:p>
      </dgm:t>
    </dgm:pt>
    <dgm:pt modelId="{5683D4FF-A623-400A-A19A-F2DC6ABFDCD7}" type="parTrans" cxnId="{44CA7D33-6DF9-4408-A0AA-6991FE893D26}">
      <dgm:prSet/>
      <dgm:spPr/>
      <dgm:t>
        <a:bodyPr/>
        <a:lstStyle/>
        <a:p>
          <a:endParaRPr lang="cs-CZ"/>
        </a:p>
      </dgm:t>
    </dgm:pt>
    <dgm:pt modelId="{E90501D6-14AD-4808-9E9E-81FE244FB700}">
      <dgm:prSet phldrT="[Text]" custT="1"/>
      <dgm:spPr/>
      <dgm:t>
        <a:bodyPr/>
        <a:lstStyle/>
        <a:p>
          <a:r>
            <a:rPr lang="cs-CZ" sz="1100" dirty="0" smtClean="0"/>
            <a:t>Příjemce:</a:t>
          </a:r>
          <a:endParaRPr lang="cs-CZ" sz="1100" dirty="0"/>
        </a:p>
      </dgm:t>
    </dgm:pt>
    <dgm:pt modelId="{AB927779-F4E6-4B5F-8388-2C0406EE249B}" type="parTrans" cxnId="{43B30CCC-6865-4724-8737-8BD48D7A69BB}">
      <dgm:prSet/>
      <dgm:spPr/>
      <dgm:t>
        <a:bodyPr/>
        <a:lstStyle/>
        <a:p>
          <a:endParaRPr lang="cs-CZ"/>
        </a:p>
      </dgm:t>
    </dgm:pt>
    <dgm:pt modelId="{3C6CFA73-1E11-4FFF-8982-B1F0E0C462DF}" type="sibTrans" cxnId="{43B30CCC-6865-4724-8737-8BD48D7A69BB}">
      <dgm:prSet/>
      <dgm:spPr/>
      <dgm:t>
        <a:bodyPr/>
        <a:lstStyle/>
        <a:p>
          <a:endParaRPr lang="cs-CZ"/>
        </a:p>
      </dgm:t>
    </dgm:pt>
    <dgm:pt modelId="{392B5BC4-2C18-4A4B-B57C-5896F0E1B132}" type="pres">
      <dgm:prSet presAssocID="{DE2890A9-FD8C-45BB-95D2-D8B09A46D7BA}" presName="Name0" presStyleCnt="0">
        <dgm:presLayoutVars>
          <dgm:dir/>
          <dgm:resizeHandles val="exact"/>
        </dgm:presLayoutVars>
      </dgm:prSet>
      <dgm:spPr/>
      <dgm:t>
        <a:bodyPr/>
        <a:lstStyle/>
        <a:p>
          <a:endParaRPr lang="cs-CZ"/>
        </a:p>
      </dgm:t>
    </dgm:pt>
    <dgm:pt modelId="{92E71ED4-BAA9-4505-80F7-7139918FA44E}" type="pres">
      <dgm:prSet presAssocID="{2AD027D9-1145-4F0C-A492-BB6D1353258B}" presName="node" presStyleLbl="node1" presStyleIdx="0" presStyleCnt="5">
        <dgm:presLayoutVars>
          <dgm:bulletEnabled val="1"/>
        </dgm:presLayoutVars>
      </dgm:prSet>
      <dgm:spPr/>
      <dgm:t>
        <a:bodyPr/>
        <a:lstStyle/>
        <a:p>
          <a:endParaRPr lang="cs-CZ"/>
        </a:p>
      </dgm:t>
    </dgm:pt>
    <dgm:pt modelId="{FEEEF4AF-5E77-40E6-8117-3DEB330CC418}" type="pres">
      <dgm:prSet presAssocID="{50BD1116-8950-4904-AA5C-58B6B99E684C}" presName="sibTrans" presStyleCnt="0"/>
      <dgm:spPr/>
      <dgm:t>
        <a:bodyPr/>
        <a:lstStyle/>
        <a:p>
          <a:endParaRPr lang="cs-CZ"/>
        </a:p>
      </dgm:t>
    </dgm:pt>
    <dgm:pt modelId="{96CD1CAD-0C04-4AC2-BD95-B7DD3AABA114}" type="pres">
      <dgm:prSet presAssocID="{CAE0B1FE-729D-481C-A7B4-2E769E46C19F}" presName="node" presStyleLbl="node1" presStyleIdx="1" presStyleCnt="5" custScaleX="106721">
        <dgm:presLayoutVars>
          <dgm:bulletEnabled val="1"/>
        </dgm:presLayoutVars>
      </dgm:prSet>
      <dgm:spPr/>
      <dgm:t>
        <a:bodyPr/>
        <a:lstStyle/>
        <a:p>
          <a:endParaRPr lang="cs-CZ"/>
        </a:p>
      </dgm:t>
    </dgm:pt>
    <dgm:pt modelId="{02941DCF-7040-437F-B0F8-EB42BA1F81FE}" type="pres">
      <dgm:prSet presAssocID="{B055F732-7260-4E72-938C-A6683F3A7BB3}" presName="sibTrans" presStyleCnt="0"/>
      <dgm:spPr/>
      <dgm:t>
        <a:bodyPr/>
        <a:lstStyle/>
        <a:p>
          <a:endParaRPr lang="cs-CZ"/>
        </a:p>
      </dgm:t>
    </dgm:pt>
    <dgm:pt modelId="{98B4A040-E5BA-4EBE-872F-31F1C8AA4F65}" type="pres">
      <dgm:prSet presAssocID="{B83752C1-B8B9-4EEB-A70D-D4E606781BC4}" presName="node" presStyleLbl="node1" presStyleIdx="2" presStyleCnt="5">
        <dgm:presLayoutVars>
          <dgm:bulletEnabled val="1"/>
        </dgm:presLayoutVars>
      </dgm:prSet>
      <dgm:spPr/>
      <dgm:t>
        <a:bodyPr/>
        <a:lstStyle/>
        <a:p>
          <a:endParaRPr lang="cs-CZ"/>
        </a:p>
      </dgm:t>
    </dgm:pt>
    <dgm:pt modelId="{C79E6AA1-7719-4634-A6E8-B0A6725293F6}" type="pres">
      <dgm:prSet presAssocID="{B5E8F89A-40CF-40F6-8C63-D1230ED1994A}" presName="sibTrans" presStyleCnt="0"/>
      <dgm:spPr/>
      <dgm:t>
        <a:bodyPr/>
        <a:lstStyle/>
        <a:p>
          <a:endParaRPr lang="cs-CZ"/>
        </a:p>
      </dgm:t>
    </dgm:pt>
    <dgm:pt modelId="{45278543-41E0-4ED0-A2CE-BE7E5FBB9E01}" type="pres">
      <dgm:prSet presAssocID="{6E6E2AF6-9D2D-466B-8770-6851933AC087}" presName="node" presStyleLbl="node1" presStyleIdx="3" presStyleCnt="5" custLinFactNeighborX="-18595" custLinFactNeighborY="0">
        <dgm:presLayoutVars>
          <dgm:bulletEnabled val="1"/>
        </dgm:presLayoutVars>
      </dgm:prSet>
      <dgm:spPr/>
      <dgm:t>
        <a:bodyPr/>
        <a:lstStyle/>
        <a:p>
          <a:endParaRPr lang="cs-CZ"/>
        </a:p>
      </dgm:t>
    </dgm:pt>
    <dgm:pt modelId="{71739903-DA9F-45DC-BA29-26FA0A949EEC}" type="pres">
      <dgm:prSet presAssocID="{01F5A0C8-4702-432F-B6CD-B09B98E5B2B5}" presName="sibTrans" presStyleCnt="0"/>
      <dgm:spPr/>
    </dgm:pt>
    <dgm:pt modelId="{88D29B7E-F7D8-4CD6-8B36-630FAD2AF934}" type="pres">
      <dgm:prSet presAssocID="{C46CFCAC-82EB-4413-A575-3FE5F50A034F}" presName="node" presStyleLbl="node1" presStyleIdx="4" presStyleCnt="5" custLinFactNeighborX="-34536" custLinFactNeighborY="0">
        <dgm:presLayoutVars>
          <dgm:bulletEnabled val="1"/>
        </dgm:presLayoutVars>
      </dgm:prSet>
      <dgm:spPr/>
      <dgm:t>
        <a:bodyPr/>
        <a:lstStyle/>
        <a:p>
          <a:endParaRPr lang="cs-CZ"/>
        </a:p>
      </dgm:t>
    </dgm:pt>
  </dgm:ptLst>
  <dgm:cxnLst>
    <dgm:cxn modelId="{1D9D9B80-D907-4605-9AE8-F2ED7052C05A}" srcId="{CAE0B1FE-729D-481C-A7B4-2E769E46C19F}" destId="{E721144E-4236-427A-A4E2-26263EF02B75}" srcOrd="0" destOrd="0" parTransId="{1324CFB2-F65A-4C72-9E09-81E4BB80EBB7}" sibTransId="{BB3901FA-CF71-4DA2-87B6-67249AFD233E}"/>
    <dgm:cxn modelId="{9B9084EF-4FA5-469C-9683-7C5D4C82452A}" type="presOf" srcId="{DE2890A9-FD8C-45BB-95D2-D8B09A46D7BA}" destId="{392B5BC4-2C18-4A4B-B57C-5896F0E1B132}" srcOrd="0" destOrd="0" presId="urn:microsoft.com/office/officeart/2005/8/layout/hList6"/>
    <dgm:cxn modelId="{3323237A-7B89-4C0E-B7F5-16850DE20CC6}" srcId="{6E6E2AF6-9D2D-466B-8770-6851933AC087}" destId="{8383851C-F94F-404B-BE8A-ADE382D02A5A}" srcOrd="1" destOrd="0" parTransId="{6DE3196E-8BDE-4976-97DA-7605C4D6088D}" sibTransId="{16AFD439-44D8-433D-B104-E42ACDE29B78}"/>
    <dgm:cxn modelId="{869A7485-DBEE-47BF-B13F-A93B2E290C19}" type="presOf" srcId="{3B7E1D17-14D9-4979-92E9-A066F95CC724}" destId="{45278543-41E0-4ED0-A2CE-BE7E5FBB9E01}" srcOrd="0" destOrd="3" presId="urn:microsoft.com/office/officeart/2005/8/layout/hList6"/>
    <dgm:cxn modelId="{3C56A261-A45B-4EF3-95E7-81F52210E427}" type="presOf" srcId="{D84846D3-5ABA-4F13-A50A-37C1D0D17E8F}" destId="{98B4A040-E5BA-4EBE-872F-31F1C8AA4F65}" srcOrd="0" destOrd="1" presId="urn:microsoft.com/office/officeart/2005/8/layout/hList6"/>
    <dgm:cxn modelId="{A12E8A4E-EA77-4C46-88A3-7C8AD3B40236}" type="presOf" srcId="{F36E0C5F-CBB3-487A-B7B7-9F4B219E0152}" destId="{96CD1CAD-0C04-4AC2-BD95-B7DD3AABA114}" srcOrd="0" destOrd="2" presId="urn:microsoft.com/office/officeart/2005/8/layout/hList6"/>
    <dgm:cxn modelId="{DEBD3EE7-F36C-4933-8AF2-564CEE66DAA8}" type="presOf" srcId="{E721144E-4236-427A-A4E2-26263EF02B75}" destId="{96CD1CAD-0C04-4AC2-BD95-B7DD3AABA114}" srcOrd="0" destOrd="1" presId="urn:microsoft.com/office/officeart/2005/8/layout/hList6"/>
    <dgm:cxn modelId="{DE9ADE3C-BDAA-4C8B-BE74-DF33500B68BA}" srcId="{DE2890A9-FD8C-45BB-95D2-D8B09A46D7BA}" destId="{C46CFCAC-82EB-4413-A575-3FE5F50A034F}" srcOrd="4" destOrd="0" parTransId="{2C27D19D-4356-4E79-AA32-5CD6DA426E58}" sibTransId="{343CAA96-CB09-4003-A040-4D4DEBF974EC}"/>
    <dgm:cxn modelId="{BA81A391-ED93-4F45-A27D-3025D0A55BE6}" srcId="{DE2890A9-FD8C-45BB-95D2-D8B09A46D7BA}" destId="{2AD027D9-1145-4F0C-A492-BB6D1353258B}" srcOrd="0" destOrd="0" parTransId="{58BB29C2-1F0F-4797-B38A-5D749862241A}" sibTransId="{50BD1116-8950-4904-AA5C-58B6B99E684C}"/>
    <dgm:cxn modelId="{D8F4E9A4-95B6-42FD-BCC6-783E3D8530BF}" srcId="{B83752C1-B8B9-4EEB-A70D-D4E606781BC4}" destId="{B5DB0F66-8861-4DE9-8234-81CB028F0B33}" srcOrd="1" destOrd="0" parTransId="{EFCF97E2-D1D7-47FD-BF77-2D8D4AD37836}" sibTransId="{4DBC46D7-C672-4E79-BF2D-F03008A31300}"/>
    <dgm:cxn modelId="{7821B50A-D369-4A74-826A-4C9A4FDA1585}" srcId="{DE2890A9-FD8C-45BB-95D2-D8B09A46D7BA}" destId="{6E6E2AF6-9D2D-466B-8770-6851933AC087}" srcOrd="3" destOrd="0" parTransId="{2A64C063-3B19-47B3-80BF-477F6B1566AF}" sibTransId="{01F5A0C8-4702-432F-B6CD-B09B98E5B2B5}"/>
    <dgm:cxn modelId="{449034DA-3414-4FB0-B935-EF1C53E72489}" type="presOf" srcId="{8383851C-F94F-404B-BE8A-ADE382D02A5A}" destId="{45278543-41E0-4ED0-A2CE-BE7E5FBB9E01}" srcOrd="0" destOrd="2" presId="urn:microsoft.com/office/officeart/2005/8/layout/hList6"/>
    <dgm:cxn modelId="{8533FCC6-E6E5-42F2-B93D-66B02C27B8C0}" type="presOf" srcId="{6E6E2AF6-9D2D-466B-8770-6851933AC087}" destId="{45278543-41E0-4ED0-A2CE-BE7E5FBB9E01}" srcOrd="0" destOrd="0" presId="urn:microsoft.com/office/officeart/2005/8/layout/hList6"/>
    <dgm:cxn modelId="{DC83DEB7-AF0A-4DD4-B8E1-9A4374D6BE2E}" type="presOf" srcId="{6EF8F290-585C-467F-8A36-CA9101B2448D}" destId="{88D29B7E-F7D8-4CD6-8B36-630FAD2AF934}" srcOrd="0" destOrd="3" presId="urn:microsoft.com/office/officeart/2005/8/layout/hList6"/>
    <dgm:cxn modelId="{1A15DF96-666D-463E-9C34-0FFF6E4F2EBB}" type="presOf" srcId="{C79A0FD5-595F-4697-B9A9-7F8D995BECED}" destId="{96CD1CAD-0C04-4AC2-BD95-B7DD3AABA114}" srcOrd="0" destOrd="3" presId="urn:microsoft.com/office/officeart/2005/8/layout/hList6"/>
    <dgm:cxn modelId="{8D9DB7C1-7B53-47DF-80DC-43F0C7B9E1B5}" type="presOf" srcId="{B83752C1-B8B9-4EEB-A70D-D4E606781BC4}" destId="{98B4A040-E5BA-4EBE-872F-31F1C8AA4F65}" srcOrd="0" destOrd="0" presId="urn:microsoft.com/office/officeart/2005/8/layout/hList6"/>
    <dgm:cxn modelId="{505912EF-906E-4789-880F-7BB6F3AF9B5D}" type="presOf" srcId="{2AD027D9-1145-4F0C-A492-BB6D1353258B}" destId="{92E71ED4-BAA9-4505-80F7-7139918FA44E}" srcOrd="0" destOrd="0" presId="urn:microsoft.com/office/officeart/2005/8/layout/hList6"/>
    <dgm:cxn modelId="{ECC40B77-6125-40D7-AB4F-1CCF2D831D43}" srcId="{2AD027D9-1145-4F0C-A492-BB6D1353258B}" destId="{B6117C91-9590-4304-AB3E-3D33D0DC0665}" srcOrd="1" destOrd="0" parTransId="{73962A5D-583E-42AE-B9C6-7078E9A3927A}" sibTransId="{17A9E9F7-A65B-4E47-AC6C-659021DD03BA}"/>
    <dgm:cxn modelId="{FA44FA88-BF7A-45B5-AB50-985945BD8446}" type="presOf" srcId="{CCAD73D5-1C8D-4B34-A114-519575E0BF59}" destId="{92E71ED4-BAA9-4505-80F7-7139918FA44E}" srcOrd="0" destOrd="1" presId="urn:microsoft.com/office/officeart/2005/8/layout/hList6"/>
    <dgm:cxn modelId="{43B30CCC-6865-4724-8737-8BD48D7A69BB}" srcId="{C46CFCAC-82EB-4413-A575-3FE5F50A034F}" destId="{E90501D6-14AD-4808-9E9E-81FE244FB700}" srcOrd="1" destOrd="0" parTransId="{AB927779-F4E6-4B5F-8388-2C0406EE249B}" sibTransId="{3C6CFA73-1E11-4FFF-8982-B1F0E0C462DF}"/>
    <dgm:cxn modelId="{D905870F-11E6-47E2-A3EE-00E83D1A1DCC}" srcId="{2AD027D9-1145-4F0C-A492-BB6D1353258B}" destId="{CCAD73D5-1C8D-4B34-A114-519575E0BF59}" srcOrd="0" destOrd="0" parTransId="{D01A3792-04BF-4BF5-A103-8FA532B320FA}" sibTransId="{B3D2A331-2916-4FF5-A649-E7E0EC4C336A}"/>
    <dgm:cxn modelId="{44CA7D33-6DF9-4408-A0AA-6991FE893D26}" srcId="{E90501D6-14AD-4808-9E9E-81FE244FB700}" destId="{6EF8F290-585C-467F-8A36-CA9101B2448D}" srcOrd="0" destOrd="0" parTransId="{5683D4FF-A623-400A-A19A-F2DC6ABFDCD7}" sibTransId="{77E87963-D000-40BD-BBE8-DA609D364E97}"/>
    <dgm:cxn modelId="{55A91700-045F-4E78-A35A-D3AEA8350A34}" type="presOf" srcId="{E223A6A4-B0D3-4138-BA3A-2FBC00C663D7}" destId="{45278543-41E0-4ED0-A2CE-BE7E5FBB9E01}" srcOrd="0" destOrd="1" presId="urn:microsoft.com/office/officeart/2005/8/layout/hList6"/>
    <dgm:cxn modelId="{A7EDC19B-2133-4F65-A5D8-F3B53791DBAF}" srcId="{B6117C91-9590-4304-AB3E-3D33D0DC0665}" destId="{571B46D6-51DF-442B-8FB9-EEFCB6C95D84}" srcOrd="0" destOrd="0" parTransId="{3883B29C-8089-48FB-974D-F1D85E72BE39}" sibTransId="{F6A6881D-38E0-4249-A94B-DCB4B245F3CB}"/>
    <dgm:cxn modelId="{61C72ED7-BCFC-4524-8E07-2B9109DD09FD}" type="presOf" srcId="{C46CFCAC-82EB-4413-A575-3FE5F50A034F}" destId="{88D29B7E-F7D8-4CD6-8B36-630FAD2AF934}" srcOrd="0" destOrd="0" presId="urn:microsoft.com/office/officeart/2005/8/layout/hList6"/>
    <dgm:cxn modelId="{667B9B9A-65BD-4547-8506-B51A8C755D7C}" type="presOf" srcId="{B6117C91-9590-4304-AB3E-3D33D0DC0665}" destId="{92E71ED4-BAA9-4505-80F7-7139918FA44E}" srcOrd="0" destOrd="2" presId="urn:microsoft.com/office/officeart/2005/8/layout/hList6"/>
    <dgm:cxn modelId="{9B1221E4-A855-427A-A661-19BC3FCF9D83}" srcId="{C46CFCAC-82EB-4413-A575-3FE5F50A034F}" destId="{5781BC16-4FDD-4F56-8C89-1D65E7155695}" srcOrd="0" destOrd="0" parTransId="{74F77422-1AF0-468F-8A18-A40FF50163A3}" sibTransId="{9D585E09-962E-4E8B-96C7-E9B105E62947}"/>
    <dgm:cxn modelId="{0F44943C-C5C6-4264-825B-D6DBBA3ACA2E}" type="presOf" srcId="{AEF11944-0C42-4A69-A578-4298D8326F43}" destId="{45278543-41E0-4ED0-A2CE-BE7E5FBB9E01}" srcOrd="0" destOrd="4" presId="urn:microsoft.com/office/officeart/2005/8/layout/hList6"/>
    <dgm:cxn modelId="{450913A8-5F12-4BE4-842B-20E9A6308AE0}" srcId="{6E6E2AF6-9D2D-466B-8770-6851933AC087}" destId="{AEF11944-0C42-4A69-A578-4298D8326F43}" srcOrd="2" destOrd="0" parTransId="{DAC2EC47-E7A0-4FAD-A27A-A2796FDC6BCE}" sibTransId="{E9C0EE1D-35AB-4EF5-96A3-8F525EDC32C1}"/>
    <dgm:cxn modelId="{9EECB280-FE4C-4F66-A4DF-975C3B301168}" srcId="{DE2890A9-FD8C-45BB-95D2-D8B09A46D7BA}" destId="{CAE0B1FE-729D-481C-A7B4-2E769E46C19F}" srcOrd="1" destOrd="0" parTransId="{E9E74F91-B882-43A0-B44F-ECB5D1329BF3}" sibTransId="{B055F732-7260-4E72-938C-A6683F3A7BB3}"/>
    <dgm:cxn modelId="{A2E2F5A9-DE40-4553-B193-E27F8A7D5F8D}" srcId="{CAE0B1FE-729D-481C-A7B4-2E769E46C19F}" destId="{F36E0C5F-CBB3-487A-B7B7-9F4B219E0152}" srcOrd="1" destOrd="0" parTransId="{345FA2A8-C997-4E18-AB3F-BA2D16C652DF}" sibTransId="{7E205F9E-690D-407F-B943-32F6751419AC}"/>
    <dgm:cxn modelId="{B760D8E9-5C21-4DFA-AC7D-B893B1562E75}" type="presOf" srcId="{E90501D6-14AD-4808-9E9E-81FE244FB700}" destId="{88D29B7E-F7D8-4CD6-8B36-630FAD2AF934}" srcOrd="0" destOrd="2" presId="urn:microsoft.com/office/officeart/2005/8/layout/hList6"/>
    <dgm:cxn modelId="{3AC74F93-B806-451E-B575-EC5F69C7F638}" type="presOf" srcId="{CAE0B1FE-729D-481C-A7B4-2E769E46C19F}" destId="{96CD1CAD-0C04-4AC2-BD95-B7DD3AABA114}" srcOrd="0" destOrd="0" presId="urn:microsoft.com/office/officeart/2005/8/layout/hList6"/>
    <dgm:cxn modelId="{560B82A6-6985-474C-A235-EFBFF4A3AB3A}" srcId="{B5DB0F66-8861-4DE9-8234-81CB028F0B33}" destId="{8978AEBD-097B-48E3-A2AD-2583B2D0144D}" srcOrd="0" destOrd="0" parTransId="{227BFC1D-4437-4D1F-AF5E-EE31CC58524B}" sibTransId="{627DFD0A-B48D-4666-B8C5-421C7439D18B}"/>
    <dgm:cxn modelId="{DAA99DB1-AD84-4198-BCD5-0E464A2BDC7C}" type="presOf" srcId="{5781BC16-4FDD-4F56-8C89-1D65E7155695}" destId="{88D29B7E-F7D8-4CD6-8B36-630FAD2AF934}" srcOrd="0" destOrd="1" presId="urn:microsoft.com/office/officeart/2005/8/layout/hList6"/>
    <dgm:cxn modelId="{E7DC0C6E-A901-4488-A2DA-8C4752EBCA05}" srcId="{6E6E2AF6-9D2D-466B-8770-6851933AC087}" destId="{E223A6A4-B0D3-4138-BA3A-2FBC00C663D7}" srcOrd="0" destOrd="0" parTransId="{1AB02084-AC94-4AFF-AFD1-93BFE7C48C18}" sibTransId="{59F09FE2-8C96-4DAB-BD03-BEA5051AC9EC}"/>
    <dgm:cxn modelId="{2459E3E4-C787-4146-92D3-8E5437D5D5E2}" srcId="{8383851C-F94F-404B-BE8A-ADE382D02A5A}" destId="{3B7E1D17-14D9-4979-92E9-A066F95CC724}" srcOrd="0" destOrd="0" parTransId="{3373C808-9F35-4CDF-82AB-8DF7B42DAE31}" sibTransId="{BFD6650B-7059-44AF-B6CF-11B933DF8F19}"/>
    <dgm:cxn modelId="{7184174A-7BE8-4C24-8826-8319E812CC99}" srcId="{DE2890A9-FD8C-45BB-95D2-D8B09A46D7BA}" destId="{B83752C1-B8B9-4EEB-A70D-D4E606781BC4}" srcOrd="2" destOrd="0" parTransId="{3276012A-0E26-4E02-9450-3B88AF07DABE}" sibTransId="{B5E8F89A-40CF-40F6-8C63-D1230ED1994A}"/>
    <dgm:cxn modelId="{949C8C2A-7169-4546-AED6-6FB65BFFADAD}" srcId="{6E6E2AF6-9D2D-466B-8770-6851933AC087}" destId="{2C1A8518-04B1-4229-9990-A8B8B0963A9C}" srcOrd="3" destOrd="0" parTransId="{DB6C52E4-1782-4220-93BE-EEDED5BCC61C}" sibTransId="{DC677258-8D3D-4DAB-935E-D2A8613716CE}"/>
    <dgm:cxn modelId="{5A394DED-8806-4C5F-BEB8-52EF8E5D99E0}" srcId="{F36E0C5F-CBB3-487A-B7B7-9F4B219E0152}" destId="{C79A0FD5-595F-4697-B9A9-7F8D995BECED}" srcOrd="0" destOrd="0" parTransId="{95C28B1A-BCEC-4E0B-9885-44DF4BB54D95}" sibTransId="{F9679E47-1AB8-4C1F-A432-16E047B59B1E}"/>
    <dgm:cxn modelId="{3E81232B-8B79-48D7-992A-AE056891D2CE}" type="presOf" srcId="{2C1A8518-04B1-4229-9990-A8B8B0963A9C}" destId="{45278543-41E0-4ED0-A2CE-BE7E5FBB9E01}" srcOrd="0" destOrd="5" presId="urn:microsoft.com/office/officeart/2005/8/layout/hList6"/>
    <dgm:cxn modelId="{4A6186E5-78D6-4B2C-988A-6D1C71BE238A}" type="presOf" srcId="{571B46D6-51DF-442B-8FB9-EEFCB6C95D84}" destId="{92E71ED4-BAA9-4505-80F7-7139918FA44E}" srcOrd="0" destOrd="3" presId="urn:microsoft.com/office/officeart/2005/8/layout/hList6"/>
    <dgm:cxn modelId="{E3488B5B-399D-4022-98A8-1910DA95C699}" type="presOf" srcId="{B5DB0F66-8861-4DE9-8234-81CB028F0B33}" destId="{98B4A040-E5BA-4EBE-872F-31F1C8AA4F65}" srcOrd="0" destOrd="2" presId="urn:microsoft.com/office/officeart/2005/8/layout/hList6"/>
    <dgm:cxn modelId="{C3AC367A-16CC-4178-9554-CD65CB20DDD4}" srcId="{B83752C1-B8B9-4EEB-A70D-D4E606781BC4}" destId="{D84846D3-5ABA-4F13-A50A-37C1D0D17E8F}" srcOrd="0" destOrd="0" parTransId="{67AD85E7-112C-471B-BB31-C7F06B146AD6}" sibTransId="{CB65F6E8-C334-4638-8E50-C9EF3771B99E}"/>
    <dgm:cxn modelId="{7DEF843B-1156-4DD4-A8B0-B0A973CC81C1}" type="presOf" srcId="{8978AEBD-097B-48E3-A2AD-2583B2D0144D}" destId="{98B4A040-E5BA-4EBE-872F-31F1C8AA4F65}" srcOrd="0" destOrd="3" presId="urn:microsoft.com/office/officeart/2005/8/layout/hList6"/>
    <dgm:cxn modelId="{6A47F40D-ACBE-4178-96B1-12A7A6BC0C6A}" type="presParOf" srcId="{392B5BC4-2C18-4A4B-B57C-5896F0E1B132}" destId="{92E71ED4-BAA9-4505-80F7-7139918FA44E}" srcOrd="0" destOrd="0" presId="urn:microsoft.com/office/officeart/2005/8/layout/hList6"/>
    <dgm:cxn modelId="{038A1477-BA34-4F6B-8831-1C12BD68308F}" type="presParOf" srcId="{392B5BC4-2C18-4A4B-B57C-5896F0E1B132}" destId="{FEEEF4AF-5E77-40E6-8117-3DEB330CC418}" srcOrd="1" destOrd="0" presId="urn:microsoft.com/office/officeart/2005/8/layout/hList6"/>
    <dgm:cxn modelId="{1982FCE5-F16D-4C7F-BA75-E3BF25AD56AB}" type="presParOf" srcId="{392B5BC4-2C18-4A4B-B57C-5896F0E1B132}" destId="{96CD1CAD-0C04-4AC2-BD95-B7DD3AABA114}" srcOrd="2" destOrd="0" presId="urn:microsoft.com/office/officeart/2005/8/layout/hList6"/>
    <dgm:cxn modelId="{8F0395D7-8299-45CA-AF04-1F48732C6EA2}" type="presParOf" srcId="{392B5BC4-2C18-4A4B-B57C-5896F0E1B132}" destId="{02941DCF-7040-437F-B0F8-EB42BA1F81FE}" srcOrd="3" destOrd="0" presId="urn:microsoft.com/office/officeart/2005/8/layout/hList6"/>
    <dgm:cxn modelId="{33C14266-3070-4D70-B8A9-1BB8E8BD1B6C}" type="presParOf" srcId="{392B5BC4-2C18-4A4B-B57C-5896F0E1B132}" destId="{98B4A040-E5BA-4EBE-872F-31F1C8AA4F65}" srcOrd="4" destOrd="0" presId="urn:microsoft.com/office/officeart/2005/8/layout/hList6"/>
    <dgm:cxn modelId="{09473846-5ABB-473F-BA6F-2893766DFE44}" type="presParOf" srcId="{392B5BC4-2C18-4A4B-B57C-5896F0E1B132}" destId="{C79E6AA1-7719-4634-A6E8-B0A6725293F6}" srcOrd="5" destOrd="0" presId="urn:microsoft.com/office/officeart/2005/8/layout/hList6"/>
    <dgm:cxn modelId="{A90B1387-DCEB-4C15-889C-E495BD5A80E0}" type="presParOf" srcId="{392B5BC4-2C18-4A4B-B57C-5896F0E1B132}" destId="{45278543-41E0-4ED0-A2CE-BE7E5FBB9E01}" srcOrd="6" destOrd="0" presId="urn:microsoft.com/office/officeart/2005/8/layout/hList6"/>
    <dgm:cxn modelId="{8C678D6C-3E9A-496C-BB7A-7963CAA2E6FB}" type="presParOf" srcId="{392B5BC4-2C18-4A4B-B57C-5896F0E1B132}" destId="{71739903-DA9F-45DC-BA29-26FA0A949EEC}" srcOrd="7" destOrd="0" presId="urn:microsoft.com/office/officeart/2005/8/layout/hList6"/>
    <dgm:cxn modelId="{41A4FCBE-5B7D-4CEB-B636-3A031E795AFB}" type="presParOf" srcId="{392B5BC4-2C18-4A4B-B57C-5896F0E1B132}" destId="{88D29B7E-F7D8-4CD6-8B36-630FAD2AF934}" srcOrd="8" destOrd="0" presId="urn:microsoft.com/office/officeart/2005/8/layout/hList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E71ED4-BAA9-4505-80F7-7139918FA44E}">
      <dsp:nvSpPr>
        <dsp:cNvPr id="0" name=""/>
        <dsp:cNvSpPr/>
      </dsp:nvSpPr>
      <dsp:spPr>
        <a:xfrm rot="16200000">
          <a:off x="-809339" y="809915"/>
          <a:ext cx="2692800" cy="1072968"/>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lvl="0" algn="l" defTabSz="533400">
            <a:lnSpc>
              <a:spcPct val="90000"/>
            </a:lnSpc>
            <a:spcBef>
              <a:spcPct val="0"/>
            </a:spcBef>
            <a:spcAft>
              <a:spcPct val="35000"/>
            </a:spcAft>
          </a:pPr>
          <a:r>
            <a:rPr lang="cs-CZ" sz="1200" b="1" kern="1200" dirty="0"/>
            <a:t>IROP (MMR)</a:t>
          </a:r>
        </a:p>
        <a:p>
          <a:pPr marL="57150" lvl="1" indent="-36000" algn="l" defTabSz="488950">
            <a:lnSpc>
              <a:spcPct val="90000"/>
            </a:lnSpc>
            <a:spcBef>
              <a:spcPct val="0"/>
            </a:spcBef>
            <a:spcAft>
              <a:spcPts val="0"/>
            </a:spcAft>
            <a:buChar char="••"/>
          </a:pPr>
          <a:r>
            <a:rPr lang="cs-CZ" sz="1100" kern="1200" dirty="0" smtClean="0"/>
            <a:t>Podpora nákupu CNG </a:t>
          </a:r>
          <a:r>
            <a:rPr lang="cs-CZ" sz="1100" kern="1200" dirty="0"/>
            <a:t>a </a:t>
          </a:r>
          <a:r>
            <a:rPr lang="cs-CZ" sz="1100" kern="1200" dirty="0" smtClean="0"/>
            <a:t>elektro busů a elektrických </a:t>
          </a:r>
          <a:r>
            <a:rPr lang="cs-CZ" sz="1100" kern="1200" dirty="0"/>
            <a:t>kolejových vozidel</a:t>
          </a:r>
        </a:p>
        <a:p>
          <a:pPr marL="57150" lvl="1" indent="-36000" algn="l" defTabSz="488950">
            <a:lnSpc>
              <a:spcPct val="90000"/>
            </a:lnSpc>
            <a:spcBef>
              <a:spcPct val="0"/>
            </a:spcBef>
            <a:spcAft>
              <a:spcPts val="0"/>
            </a:spcAft>
            <a:buChar char="••"/>
          </a:pPr>
          <a:r>
            <a:rPr lang="cs-CZ" sz="1100" kern="1200" dirty="0" smtClean="0"/>
            <a:t>Příjemci:</a:t>
          </a:r>
          <a:endParaRPr lang="cs-CZ" sz="1100" kern="1200" dirty="0"/>
        </a:p>
        <a:p>
          <a:pPr marL="114300" lvl="2" indent="-36000" algn="l" defTabSz="488950">
            <a:lnSpc>
              <a:spcPct val="90000"/>
            </a:lnSpc>
            <a:spcBef>
              <a:spcPct val="0"/>
            </a:spcBef>
            <a:spcAft>
              <a:spcPts val="0"/>
            </a:spcAft>
            <a:buChar char="••"/>
          </a:pPr>
          <a:r>
            <a:rPr lang="cs-CZ" sz="1100" kern="1200" dirty="0" smtClean="0"/>
            <a:t>veřejné </a:t>
          </a:r>
          <a:r>
            <a:rPr lang="cs-CZ" sz="1100" kern="1200" dirty="0"/>
            <a:t>DP</a:t>
          </a:r>
        </a:p>
      </dsp:txBody>
      <dsp:txXfrm rot="5400000">
        <a:off x="577" y="538559"/>
        <a:ext cx="1072968" cy="1615680"/>
      </dsp:txXfrm>
    </dsp:sp>
    <dsp:sp modelId="{96CD1CAD-0C04-4AC2-BD95-B7DD3AABA114}">
      <dsp:nvSpPr>
        <dsp:cNvPr id="0" name=""/>
        <dsp:cNvSpPr/>
      </dsp:nvSpPr>
      <dsp:spPr>
        <a:xfrm rot="16200000">
          <a:off x="380158" y="773858"/>
          <a:ext cx="2692800" cy="1145082"/>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lvl="0" algn="l" defTabSz="533400">
            <a:lnSpc>
              <a:spcPct val="90000"/>
            </a:lnSpc>
            <a:spcBef>
              <a:spcPct val="0"/>
            </a:spcBef>
            <a:spcAft>
              <a:spcPct val="35000"/>
            </a:spcAft>
          </a:pPr>
          <a:r>
            <a:rPr lang="cs-CZ" sz="1200" b="1" kern="1200" dirty="0"/>
            <a:t>OPD (MD)</a:t>
          </a:r>
        </a:p>
        <a:p>
          <a:pPr marL="57150" lvl="1" indent="-36000" algn="l" defTabSz="488950">
            <a:lnSpc>
              <a:spcPct val="90000"/>
            </a:lnSpc>
            <a:spcBef>
              <a:spcPct val="0"/>
            </a:spcBef>
            <a:spcAft>
              <a:spcPts val="0"/>
            </a:spcAft>
            <a:buChar char="••"/>
          </a:pPr>
          <a:r>
            <a:rPr lang="cs-CZ" sz="1100" kern="1200" dirty="0" smtClean="0"/>
            <a:t>Podpora veřejné infrastruktury </a:t>
          </a:r>
          <a:r>
            <a:rPr lang="cs-CZ" sz="1100" kern="1200" dirty="0"/>
            <a:t>dobíjecích stanic </a:t>
          </a:r>
          <a:r>
            <a:rPr lang="cs-CZ" sz="1100" kern="1200" dirty="0" smtClean="0"/>
            <a:t>pro EV / CNG / LNG a </a:t>
          </a:r>
          <a:r>
            <a:rPr lang="cs-CZ" sz="1100" kern="1200" dirty="0"/>
            <a:t>vodík</a:t>
          </a:r>
        </a:p>
        <a:p>
          <a:pPr marL="57150" lvl="1" indent="-36000" algn="l" defTabSz="488950">
            <a:lnSpc>
              <a:spcPct val="90000"/>
            </a:lnSpc>
            <a:spcBef>
              <a:spcPct val="0"/>
            </a:spcBef>
            <a:spcAft>
              <a:spcPts val="0"/>
            </a:spcAft>
            <a:buChar char="••"/>
          </a:pPr>
          <a:r>
            <a:rPr lang="cs-CZ" sz="1100" kern="1200" dirty="0" smtClean="0"/>
            <a:t>Příjemci:</a:t>
          </a:r>
          <a:endParaRPr lang="cs-CZ" sz="1100" kern="1200" dirty="0"/>
        </a:p>
        <a:p>
          <a:pPr marL="114300" lvl="2" indent="-36000" algn="l" defTabSz="488950">
            <a:lnSpc>
              <a:spcPct val="90000"/>
            </a:lnSpc>
            <a:spcBef>
              <a:spcPct val="0"/>
            </a:spcBef>
            <a:spcAft>
              <a:spcPts val="0"/>
            </a:spcAft>
            <a:buChar char="••"/>
          </a:pPr>
          <a:r>
            <a:rPr lang="cs-CZ" sz="1100" kern="1200" dirty="0" smtClean="0"/>
            <a:t>provozovatelé </a:t>
          </a:r>
          <a:r>
            <a:rPr lang="cs-CZ" sz="1200" kern="1200" dirty="0" smtClean="0"/>
            <a:t>dobíjecích stanic</a:t>
          </a:r>
          <a:endParaRPr lang="cs-CZ" sz="1200" kern="1200" dirty="0"/>
        </a:p>
      </dsp:txBody>
      <dsp:txXfrm rot="5400000">
        <a:off x="1154017" y="538559"/>
        <a:ext cx="1145082" cy="1615680"/>
      </dsp:txXfrm>
    </dsp:sp>
    <dsp:sp modelId="{98B4A040-E5BA-4EBE-872F-31F1C8AA4F65}">
      <dsp:nvSpPr>
        <dsp:cNvPr id="0" name=""/>
        <dsp:cNvSpPr/>
      </dsp:nvSpPr>
      <dsp:spPr>
        <a:xfrm rot="16200000">
          <a:off x="1569657" y="809915"/>
          <a:ext cx="2692800" cy="1072968"/>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lvl="0" algn="l" defTabSz="533400">
            <a:lnSpc>
              <a:spcPct val="90000"/>
            </a:lnSpc>
            <a:spcBef>
              <a:spcPct val="0"/>
            </a:spcBef>
            <a:spcAft>
              <a:spcPct val="35000"/>
            </a:spcAft>
          </a:pPr>
          <a:r>
            <a:rPr lang="cs-CZ" sz="1200" b="1" kern="1200" dirty="0"/>
            <a:t>OPPIK (MPO)</a:t>
          </a:r>
        </a:p>
        <a:p>
          <a:pPr marL="57150" lvl="1" indent="-57150" algn="l" defTabSz="488950">
            <a:lnSpc>
              <a:spcPct val="90000"/>
            </a:lnSpc>
            <a:spcBef>
              <a:spcPct val="0"/>
            </a:spcBef>
            <a:spcAft>
              <a:spcPct val="15000"/>
            </a:spcAft>
            <a:buChar char="••"/>
          </a:pPr>
          <a:r>
            <a:rPr lang="cs-CZ" sz="1100" kern="1200" dirty="0"/>
            <a:t>Podpora </a:t>
          </a:r>
          <a:r>
            <a:rPr lang="cs-CZ" sz="1100" kern="1200" dirty="0" smtClean="0"/>
            <a:t>nákupu</a:t>
          </a:r>
          <a:r>
            <a:rPr lang="en-US" sz="1100" kern="1200" dirty="0" smtClean="0"/>
            <a:t> E</a:t>
          </a:r>
          <a:r>
            <a:rPr lang="cs-CZ" sz="1100" kern="1200" dirty="0" smtClean="0"/>
            <a:t>V a pořízení dobíjecích stanic</a:t>
          </a:r>
          <a:endParaRPr lang="cs-CZ" sz="1100" kern="1200" dirty="0"/>
        </a:p>
        <a:p>
          <a:pPr marL="57150" lvl="1" indent="-57150" algn="l" defTabSz="488950">
            <a:lnSpc>
              <a:spcPct val="90000"/>
            </a:lnSpc>
            <a:spcBef>
              <a:spcPct val="0"/>
            </a:spcBef>
            <a:spcAft>
              <a:spcPct val="15000"/>
            </a:spcAft>
            <a:buChar char="••"/>
          </a:pPr>
          <a:r>
            <a:rPr lang="cs-CZ" sz="1100" kern="1200" dirty="0" smtClean="0"/>
            <a:t>Příjemci:</a:t>
          </a:r>
          <a:endParaRPr lang="cs-CZ" sz="1100" kern="1200" dirty="0"/>
        </a:p>
        <a:p>
          <a:pPr marL="114300" lvl="2" indent="-57150" algn="l" defTabSz="488950">
            <a:lnSpc>
              <a:spcPct val="90000"/>
            </a:lnSpc>
            <a:spcBef>
              <a:spcPct val="0"/>
            </a:spcBef>
            <a:spcAft>
              <a:spcPct val="15000"/>
            </a:spcAft>
            <a:buChar char="••"/>
          </a:pPr>
          <a:r>
            <a:rPr lang="cs-CZ" sz="1100" kern="1200" dirty="0" smtClean="0"/>
            <a:t>podniky mimo Prahu</a:t>
          </a:r>
          <a:endParaRPr lang="cs-CZ" sz="1100" kern="1200" dirty="0"/>
        </a:p>
      </dsp:txBody>
      <dsp:txXfrm rot="5400000">
        <a:off x="2379573" y="538559"/>
        <a:ext cx="1072968" cy="1615680"/>
      </dsp:txXfrm>
    </dsp:sp>
    <dsp:sp modelId="{45278543-41E0-4ED0-A2CE-BE7E5FBB9E01}">
      <dsp:nvSpPr>
        <dsp:cNvPr id="0" name=""/>
        <dsp:cNvSpPr/>
      </dsp:nvSpPr>
      <dsp:spPr>
        <a:xfrm rot="16200000">
          <a:off x="2708134" y="809915"/>
          <a:ext cx="2692800" cy="1072968"/>
        </a:xfrm>
        <a:prstGeom prst="flowChartManualOperation">
          <a:avLst/>
        </a:prstGeom>
        <a:solidFill>
          <a:srgbClr val="7BC143"/>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lvl="0" algn="l" defTabSz="533400">
            <a:lnSpc>
              <a:spcPct val="90000"/>
            </a:lnSpc>
            <a:spcBef>
              <a:spcPct val="0"/>
            </a:spcBef>
            <a:spcAft>
              <a:spcPct val="35000"/>
            </a:spcAft>
          </a:pPr>
          <a:r>
            <a:rPr lang="cs-CZ" sz="1200" b="1" kern="1200" dirty="0"/>
            <a:t>NPŽP (MŽP)</a:t>
          </a:r>
        </a:p>
        <a:p>
          <a:pPr marL="57150" lvl="1" indent="-57150" algn="l" defTabSz="488950">
            <a:lnSpc>
              <a:spcPct val="90000"/>
            </a:lnSpc>
            <a:spcBef>
              <a:spcPct val="0"/>
            </a:spcBef>
            <a:spcAft>
              <a:spcPct val="15000"/>
            </a:spcAft>
            <a:buChar char="••"/>
          </a:pPr>
          <a:r>
            <a:rPr lang="cs-CZ" sz="1100" kern="1200" dirty="0"/>
            <a:t>Podpora nákupu </a:t>
          </a:r>
          <a:r>
            <a:rPr lang="en-US" sz="1100" kern="1200" dirty="0" smtClean="0"/>
            <a:t>E</a:t>
          </a:r>
          <a:r>
            <a:rPr lang="cs-CZ" sz="1100" kern="1200" dirty="0" smtClean="0"/>
            <a:t>V</a:t>
          </a:r>
          <a:r>
            <a:rPr lang="en-US" sz="1100" kern="1200" dirty="0" smtClean="0"/>
            <a:t>,</a:t>
          </a:r>
          <a:r>
            <a:rPr lang="cs-CZ" sz="1100" kern="1200" dirty="0" smtClean="0"/>
            <a:t> PHEV a </a:t>
          </a:r>
          <a:r>
            <a:rPr lang="cs-CZ" sz="1100" kern="1200" dirty="0"/>
            <a:t>CNG</a:t>
          </a:r>
        </a:p>
        <a:p>
          <a:pPr marL="57150" lvl="1" indent="-57150" algn="l" defTabSz="488950">
            <a:lnSpc>
              <a:spcPct val="90000"/>
            </a:lnSpc>
            <a:spcBef>
              <a:spcPct val="0"/>
            </a:spcBef>
            <a:spcAft>
              <a:spcPct val="15000"/>
            </a:spcAft>
            <a:buChar char="••"/>
          </a:pPr>
          <a:r>
            <a:rPr lang="cs-CZ" sz="1100" kern="1200" dirty="0" smtClean="0"/>
            <a:t>Příjemci:</a:t>
          </a:r>
          <a:endParaRPr lang="cs-CZ" sz="1100" kern="1200" dirty="0"/>
        </a:p>
        <a:p>
          <a:pPr marL="114300" lvl="2" indent="-57150" algn="l" defTabSz="488950">
            <a:lnSpc>
              <a:spcPct val="90000"/>
            </a:lnSpc>
            <a:spcBef>
              <a:spcPct val="0"/>
            </a:spcBef>
            <a:spcAft>
              <a:spcPct val="15000"/>
            </a:spcAft>
            <a:buChar char="••"/>
          </a:pPr>
          <a:r>
            <a:rPr lang="cs-CZ" sz="1100" kern="1200" dirty="0" smtClean="0"/>
            <a:t>Obce, kraje</a:t>
          </a:r>
          <a:endParaRPr lang="cs-CZ" sz="1100" kern="1200" dirty="0"/>
        </a:p>
        <a:p>
          <a:pPr marL="57150" lvl="1" indent="-57150" algn="l" defTabSz="488950">
            <a:lnSpc>
              <a:spcPct val="90000"/>
            </a:lnSpc>
            <a:spcBef>
              <a:spcPct val="0"/>
            </a:spcBef>
            <a:spcAft>
              <a:spcPct val="15000"/>
            </a:spcAft>
            <a:buChar char="••"/>
          </a:pPr>
          <a:r>
            <a:rPr lang="cs-CZ" sz="1100" kern="1200" dirty="0" smtClean="0"/>
            <a:t>organizace jimi zřízené </a:t>
          </a:r>
          <a:endParaRPr lang="cs-CZ" sz="1100" kern="1200" dirty="0"/>
        </a:p>
        <a:p>
          <a:pPr marL="57150" lvl="1" indent="-57150" algn="l" defTabSz="488950">
            <a:lnSpc>
              <a:spcPct val="90000"/>
            </a:lnSpc>
            <a:spcBef>
              <a:spcPct val="0"/>
            </a:spcBef>
            <a:spcAft>
              <a:spcPct val="15000"/>
            </a:spcAft>
            <a:buChar char="••"/>
          </a:pPr>
          <a:r>
            <a:rPr lang="cs-CZ" sz="1100" kern="1200" dirty="0" smtClean="0"/>
            <a:t>Osvěta</a:t>
          </a:r>
          <a:endParaRPr lang="cs-CZ" sz="1100" kern="1200" dirty="0"/>
        </a:p>
      </dsp:txBody>
      <dsp:txXfrm rot="5400000">
        <a:off x="3518050" y="538559"/>
        <a:ext cx="1072968" cy="1615680"/>
      </dsp:txXfrm>
    </dsp:sp>
    <dsp:sp modelId="{88D29B7E-F7D8-4CD6-8B36-630FAD2AF934}">
      <dsp:nvSpPr>
        <dsp:cNvPr id="0" name=""/>
        <dsp:cNvSpPr/>
      </dsp:nvSpPr>
      <dsp:spPr>
        <a:xfrm rot="16200000">
          <a:off x="3848747" y="809915"/>
          <a:ext cx="2692800" cy="1072968"/>
        </a:xfrm>
        <a:prstGeom prst="flowChartManualOperati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lvl="0" algn="l" defTabSz="533400">
            <a:lnSpc>
              <a:spcPct val="90000"/>
            </a:lnSpc>
            <a:spcBef>
              <a:spcPct val="0"/>
            </a:spcBef>
            <a:spcAft>
              <a:spcPct val="35000"/>
            </a:spcAft>
          </a:pPr>
          <a:r>
            <a:rPr lang="cs-CZ" sz="1200" b="1" kern="1200" dirty="0" smtClean="0"/>
            <a:t>Praha OPPPR</a:t>
          </a:r>
          <a:endParaRPr lang="cs-CZ" sz="1200" b="1" kern="1200" dirty="0"/>
        </a:p>
        <a:p>
          <a:pPr marL="57150" lvl="1" indent="-57150" algn="l" defTabSz="488950">
            <a:lnSpc>
              <a:spcPct val="90000"/>
            </a:lnSpc>
            <a:spcBef>
              <a:spcPct val="0"/>
            </a:spcBef>
            <a:spcAft>
              <a:spcPct val="15000"/>
            </a:spcAft>
            <a:buChar char="••"/>
          </a:pPr>
          <a:r>
            <a:rPr lang="cs-CZ" sz="1100" kern="1200" dirty="0" smtClean="0"/>
            <a:t>Podpora nákupu elektro busů – 2019.</a:t>
          </a:r>
          <a:endParaRPr lang="cs-CZ" sz="1100" kern="1200" dirty="0"/>
        </a:p>
        <a:p>
          <a:pPr marL="57150" lvl="1" indent="-57150" algn="l" defTabSz="488950">
            <a:lnSpc>
              <a:spcPct val="90000"/>
            </a:lnSpc>
            <a:spcBef>
              <a:spcPct val="0"/>
            </a:spcBef>
            <a:spcAft>
              <a:spcPct val="15000"/>
            </a:spcAft>
            <a:buChar char="••"/>
          </a:pPr>
          <a:r>
            <a:rPr lang="cs-CZ" sz="1100" kern="1200" dirty="0" smtClean="0"/>
            <a:t>Příjemce:</a:t>
          </a:r>
          <a:endParaRPr lang="cs-CZ" sz="1100" kern="1200" dirty="0"/>
        </a:p>
        <a:p>
          <a:pPr marL="114300" lvl="2" indent="-57150" algn="l" defTabSz="488950">
            <a:lnSpc>
              <a:spcPct val="90000"/>
            </a:lnSpc>
            <a:spcBef>
              <a:spcPct val="0"/>
            </a:spcBef>
            <a:spcAft>
              <a:spcPct val="15000"/>
            </a:spcAft>
            <a:buChar char="••"/>
          </a:pPr>
          <a:r>
            <a:rPr lang="cs-CZ" sz="1100" kern="1200" dirty="0" smtClean="0"/>
            <a:t>DP Praha</a:t>
          </a:r>
          <a:endParaRPr lang="cs-CZ" sz="1100" kern="1200" dirty="0"/>
        </a:p>
      </dsp:txBody>
      <dsp:txXfrm rot="5400000">
        <a:off x="4658663" y="538559"/>
        <a:ext cx="1072968" cy="1615680"/>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0.85046</cdr:x>
      <cdr:y>0.04736</cdr:y>
    </cdr:from>
    <cdr:to>
      <cdr:x>0.98683</cdr:x>
      <cdr:y>0.15847</cdr:y>
    </cdr:to>
    <cdr:sp macro="" textlink="">
      <cdr:nvSpPr>
        <cdr:cNvPr id="2" name="TextovéPole 1"/>
        <cdr:cNvSpPr txBox="1"/>
      </cdr:nvSpPr>
      <cdr:spPr>
        <a:xfrm xmlns:a="http://schemas.openxmlformats.org/drawingml/2006/main">
          <a:off x="4914368" y="126899"/>
          <a:ext cx="788014" cy="29774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cs-CZ" sz="1600" b="1"/>
            <a:t>V -</a:t>
          </a:r>
          <a:r>
            <a:rPr lang="cs-CZ" sz="1600" b="1" baseline="0"/>
            <a:t> PA</a:t>
          </a:r>
          <a:endParaRPr lang="cs-CZ" sz="1600" b="1"/>
        </a:p>
      </cdr:txBody>
    </cdr:sp>
  </cdr:relSizeAnchor>
</c:userShapes>
</file>

<file path=word/drawings/drawing10.xml><?xml version="1.0" encoding="utf-8"?>
<c:userShapes xmlns:c="http://schemas.openxmlformats.org/drawingml/2006/chart">
  <cdr:relSizeAnchor xmlns:cdr="http://schemas.openxmlformats.org/drawingml/2006/chartDrawing">
    <cdr:from>
      <cdr:x>0.87883</cdr:x>
      <cdr:y>0.05579</cdr:y>
    </cdr:from>
    <cdr:to>
      <cdr:x>0.99966</cdr:x>
      <cdr:y>0.17281</cdr:y>
    </cdr:to>
    <cdr:sp macro="" textlink="">
      <cdr:nvSpPr>
        <cdr:cNvPr id="2" name="TextovéPole 1"/>
        <cdr:cNvSpPr txBox="1"/>
      </cdr:nvSpPr>
      <cdr:spPr>
        <a:xfrm xmlns:a="http://schemas.openxmlformats.org/drawingml/2006/main">
          <a:off x="5062672" y="143986"/>
          <a:ext cx="696068" cy="30201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a:t>
          </a:r>
          <a:r>
            <a:rPr lang="cs-CZ" sz="1600" b="1" baseline="0"/>
            <a:t> - BP</a:t>
          </a:r>
          <a:endParaRPr lang="cs-CZ" sz="1600" b="1"/>
        </a:p>
      </cdr:txBody>
    </cdr:sp>
  </cdr:relSizeAnchor>
</c:userShapes>
</file>

<file path=word/drawings/drawing11.xml><?xml version="1.0" encoding="utf-8"?>
<c:userShapes xmlns:c="http://schemas.openxmlformats.org/drawingml/2006/chart">
  <cdr:relSizeAnchor xmlns:cdr="http://schemas.openxmlformats.org/drawingml/2006/chartDrawing">
    <cdr:from>
      <cdr:x>0.07253</cdr:x>
      <cdr:y>0.81667</cdr:y>
    </cdr:from>
    <cdr:to>
      <cdr:x>0.13781</cdr:x>
      <cdr:y>0.93667</cdr:y>
    </cdr:to>
    <cdr:sp macro="" textlink="">
      <cdr:nvSpPr>
        <cdr:cNvPr id="2" name="TextovéPole 1">
          <a:extLst xmlns:a="http://schemas.openxmlformats.org/drawingml/2006/main">
            <a:ext uri="{FF2B5EF4-FFF2-40B4-BE49-F238E27FC236}">
              <a16:creationId xmlns="" xmlns:a16="http://schemas.microsoft.com/office/drawing/2014/main" id="{6D56FD98-CAFF-FC49-91A4-C5677E004EEA}"/>
            </a:ext>
          </a:extLst>
        </cdr:cNvPr>
        <cdr:cNvSpPr txBox="1"/>
      </cdr:nvSpPr>
      <cdr:spPr>
        <a:xfrm xmlns:a="http://schemas.openxmlformats.org/drawingml/2006/main">
          <a:off x="1016000" y="62230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cs-CZ" sz="1200" b="1"/>
        </a:p>
      </cdr:txBody>
    </cdr:sp>
  </cdr:relSizeAnchor>
</c:userShapes>
</file>

<file path=word/drawings/drawing2.xml><?xml version="1.0" encoding="utf-8"?>
<c:userShapes xmlns:c="http://schemas.openxmlformats.org/drawingml/2006/chart">
  <cdr:relSizeAnchor xmlns:cdr="http://schemas.openxmlformats.org/drawingml/2006/chartDrawing">
    <cdr:from>
      <cdr:x>0.84054</cdr:x>
      <cdr:y>0.07278</cdr:y>
    </cdr:from>
    <cdr:to>
      <cdr:x>0.98061</cdr:x>
      <cdr:y>0.18389</cdr:y>
    </cdr:to>
    <cdr:sp macro="" textlink="">
      <cdr:nvSpPr>
        <cdr:cNvPr id="2" name="TextovéPole 1"/>
        <cdr:cNvSpPr txBox="1"/>
      </cdr:nvSpPr>
      <cdr:spPr>
        <a:xfrm xmlns:a="http://schemas.openxmlformats.org/drawingml/2006/main">
          <a:off x="4846055" y="199644"/>
          <a:ext cx="807562" cy="30479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 -</a:t>
          </a:r>
          <a:r>
            <a:rPr lang="cs-CZ" sz="1600" b="1" baseline="0"/>
            <a:t> BAU</a:t>
          </a:r>
          <a:endParaRPr lang="cs-CZ" sz="1600" b="1"/>
        </a:p>
      </cdr:txBody>
    </cdr:sp>
  </cdr:relSizeAnchor>
</c:userShapes>
</file>

<file path=word/drawings/drawing3.xml><?xml version="1.0" encoding="utf-8"?>
<c:userShapes xmlns:c="http://schemas.openxmlformats.org/drawingml/2006/chart">
  <cdr:relSizeAnchor xmlns:cdr="http://schemas.openxmlformats.org/drawingml/2006/chartDrawing">
    <cdr:from>
      <cdr:x>0.86442</cdr:x>
      <cdr:y>0.06845</cdr:y>
    </cdr:from>
    <cdr:to>
      <cdr:x>0.98246</cdr:x>
      <cdr:y>0.17956</cdr:y>
    </cdr:to>
    <cdr:sp macro="" textlink="">
      <cdr:nvSpPr>
        <cdr:cNvPr id="2" name="TextovéPole 1"/>
        <cdr:cNvSpPr txBox="1"/>
      </cdr:nvSpPr>
      <cdr:spPr>
        <a:xfrm xmlns:a="http://schemas.openxmlformats.org/drawingml/2006/main">
          <a:off x="4986403" y="187770"/>
          <a:ext cx="680917" cy="30479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a:t>
          </a:r>
          <a:r>
            <a:rPr lang="cs-CZ" sz="1600" b="1" baseline="0"/>
            <a:t> - BP</a:t>
          </a:r>
          <a:endParaRPr lang="cs-CZ" sz="1600" b="1"/>
        </a:p>
      </cdr:txBody>
    </cdr:sp>
  </cdr:relSizeAnchor>
</c:userShapes>
</file>

<file path=word/drawings/drawing4.xml><?xml version="1.0" encoding="utf-8"?>
<c:userShapes xmlns:c="http://schemas.openxmlformats.org/drawingml/2006/chart">
  <cdr:relSizeAnchor xmlns:cdr="http://schemas.openxmlformats.org/drawingml/2006/chartDrawing">
    <cdr:from>
      <cdr:x>0.85171</cdr:x>
      <cdr:y>0.04941</cdr:y>
    </cdr:from>
    <cdr:to>
      <cdr:x>0.98838</cdr:x>
      <cdr:y>0.17432</cdr:y>
    </cdr:to>
    <cdr:sp macro="" textlink="">
      <cdr:nvSpPr>
        <cdr:cNvPr id="2" name="TextovéPole 1"/>
        <cdr:cNvSpPr txBox="1"/>
      </cdr:nvSpPr>
      <cdr:spPr>
        <a:xfrm xmlns:a="http://schemas.openxmlformats.org/drawingml/2006/main">
          <a:off x="5698477" y="138405"/>
          <a:ext cx="914400" cy="34989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cs-CZ" sz="1600" b="1"/>
            <a:t>V - 14 %</a:t>
          </a:r>
        </a:p>
      </cdr:txBody>
    </cdr:sp>
  </cdr:relSizeAnchor>
</c:userShapes>
</file>

<file path=word/drawings/drawing5.xml><?xml version="1.0" encoding="utf-8"?>
<c:userShapes xmlns:c="http://schemas.openxmlformats.org/drawingml/2006/chart">
  <cdr:relSizeAnchor xmlns:cdr="http://schemas.openxmlformats.org/drawingml/2006/chartDrawing">
    <cdr:from>
      <cdr:x>0.88122</cdr:x>
      <cdr:y>0.0716</cdr:y>
    </cdr:from>
    <cdr:to>
      <cdr:x>0.99966</cdr:x>
      <cdr:y>0.18966</cdr:y>
    </cdr:to>
    <cdr:sp macro="" textlink="">
      <cdr:nvSpPr>
        <cdr:cNvPr id="2" name="TextovéPole 1"/>
        <cdr:cNvSpPr txBox="1"/>
      </cdr:nvSpPr>
      <cdr:spPr>
        <a:xfrm xmlns:a="http://schemas.openxmlformats.org/drawingml/2006/main">
          <a:off x="5076440" y="184171"/>
          <a:ext cx="682300" cy="3036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 -</a:t>
          </a:r>
          <a:r>
            <a:rPr lang="cs-CZ" sz="1600" b="1" baseline="0"/>
            <a:t> PA</a:t>
          </a:r>
          <a:endParaRPr lang="cs-CZ" sz="1600" b="1"/>
        </a:p>
      </cdr:txBody>
    </cdr:sp>
  </cdr:relSizeAnchor>
</c:userShapes>
</file>

<file path=word/drawings/drawing6.xml><?xml version="1.0" encoding="utf-8"?>
<c:userShapes xmlns:c="http://schemas.openxmlformats.org/drawingml/2006/chart">
  <cdr:relSizeAnchor xmlns:cdr="http://schemas.openxmlformats.org/drawingml/2006/chartDrawing">
    <cdr:from>
      <cdr:x>0.85416</cdr:x>
      <cdr:y>0.06989</cdr:y>
    </cdr:from>
    <cdr:to>
      <cdr:x>0.98145</cdr:x>
      <cdr:y>0.19046</cdr:y>
    </cdr:to>
    <cdr:sp macro="" textlink="">
      <cdr:nvSpPr>
        <cdr:cNvPr id="2" name="TextovéPole 1"/>
        <cdr:cNvSpPr txBox="1"/>
      </cdr:nvSpPr>
      <cdr:spPr>
        <a:xfrm xmlns:a="http://schemas.openxmlformats.org/drawingml/2006/main">
          <a:off x="4920560" y="142504"/>
          <a:ext cx="733282" cy="24582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 -</a:t>
          </a:r>
          <a:r>
            <a:rPr lang="cs-CZ" sz="1600" b="1" baseline="0"/>
            <a:t> BAU</a:t>
          </a:r>
          <a:endParaRPr lang="cs-CZ" sz="1600" b="1"/>
        </a:p>
      </cdr:txBody>
    </cdr:sp>
  </cdr:relSizeAnchor>
</c:userShapes>
</file>

<file path=word/drawings/drawing7.xml><?xml version="1.0" encoding="utf-8"?>
<c:userShapes xmlns:c="http://schemas.openxmlformats.org/drawingml/2006/chart">
  <cdr:relSizeAnchor xmlns:cdr="http://schemas.openxmlformats.org/drawingml/2006/chartDrawing">
    <cdr:from>
      <cdr:x>0.87238</cdr:x>
      <cdr:y>0.0673</cdr:y>
    </cdr:from>
    <cdr:to>
      <cdr:x>0.98127</cdr:x>
      <cdr:y>0.18433</cdr:y>
    </cdr:to>
    <cdr:sp macro="" textlink="">
      <cdr:nvSpPr>
        <cdr:cNvPr id="2" name="TextovéPole 1"/>
        <cdr:cNvSpPr txBox="1"/>
      </cdr:nvSpPr>
      <cdr:spPr>
        <a:xfrm xmlns:a="http://schemas.openxmlformats.org/drawingml/2006/main">
          <a:off x="5025512" y="128979"/>
          <a:ext cx="627285" cy="22427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a:t>
          </a:r>
          <a:r>
            <a:rPr lang="cs-CZ" sz="1600" b="1" baseline="0"/>
            <a:t> - BP</a:t>
          </a:r>
          <a:endParaRPr lang="cs-CZ" sz="1600" b="1"/>
        </a:p>
      </cdr:txBody>
    </cdr:sp>
  </cdr:relSizeAnchor>
</c:userShapes>
</file>

<file path=word/drawings/drawing8.xml><?xml version="1.0" encoding="utf-8"?>
<c:userShapes xmlns:c="http://schemas.openxmlformats.org/drawingml/2006/chart">
  <cdr:relSizeAnchor xmlns:cdr="http://schemas.openxmlformats.org/drawingml/2006/chartDrawing">
    <cdr:from>
      <cdr:x>0.87463</cdr:x>
      <cdr:y>0.05903</cdr:y>
    </cdr:from>
    <cdr:to>
      <cdr:x>0.99966</cdr:x>
      <cdr:y>0.17954</cdr:y>
    </cdr:to>
    <cdr:sp macro="" textlink="">
      <cdr:nvSpPr>
        <cdr:cNvPr id="2" name="TextovéPole 1"/>
        <cdr:cNvSpPr txBox="1"/>
      </cdr:nvSpPr>
      <cdr:spPr>
        <a:xfrm xmlns:a="http://schemas.openxmlformats.org/drawingml/2006/main">
          <a:off x="5038477" y="152106"/>
          <a:ext cx="720263" cy="3105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 -</a:t>
          </a:r>
          <a:r>
            <a:rPr lang="cs-CZ" sz="1600" b="1" baseline="0"/>
            <a:t> PA</a:t>
          </a:r>
          <a:endParaRPr lang="cs-CZ" sz="1600" b="1"/>
        </a:p>
      </cdr:txBody>
    </cdr:sp>
  </cdr:relSizeAnchor>
</c:userShapes>
</file>

<file path=word/drawings/drawing9.xml><?xml version="1.0" encoding="utf-8"?>
<c:userShapes xmlns:c="http://schemas.openxmlformats.org/drawingml/2006/chart">
  <cdr:relSizeAnchor xmlns:cdr="http://schemas.openxmlformats.org/drawingml/2006/chartDrawing">
    <cdr:from>
      <cdr:x>0.85295</cdr:x>
      <cdr:y>0.05954</cdr:y>
    </cdr:from>
    <cdr:to>
      <cdr:x>0.98889</cdr:x>
      <cdr:y>0.18011</cdr:y>
    </cdr:to>
    <cdr:sp macro="" textlink="">
      <cdr:nvSpPr>
        <cdr:cNvPr id="2" name="TextovéPole 1"/>
        <cdr:cNvSpPr txBox="1"/>
      </cdr:nvSpPr>
      <cdr:spPr>
        <a:xfrm xmlns:a="http://schemas.openxmlformats.org/drawingml/2006/main">
          <a:off x="4913606" y="162661"/>
          <a:ext cx="783112" cy="32941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cs-CZ" sz="1600" b="1"/>
            <a:t>V -</a:t>
          </a:r>
          <a:r>
            <a:rPr lang="cs-CZ" sz="1600" b="1" baseline="0"/>
            <a:t> BAU</a:t>
          </a:r>
          <a:endParaRPr lang="cs-CZ" sz="1600" b="1"/>
        </a:p>
      </cdr:txBody>
    </cdr:sp>
  </cdr:relSizeAnchor>
</c:userShapes>
</file>

<file path=word/theme/theme1.xml><?xml version="1.0" encoding="utf-8"?>
<a:theme xmlns:a="http://schemas.openxmlformats.org/drawingml/2006/main" name="Motiv Office">
  <a:themeElements>
    <a:clrScheme name="MPO colors">
      <a:dk1>
        <a:srgbClr val="000000"/>
      </a:dk1>
      <a:lt1>
        <a:sysClr val="window" lastClr="FFFFFF"/>
      </a:lt1>
      <a:dk2>
        <a:srgbClr val="004B8D"/>
      </a:dk2>
      <a:lt2>
        <a:srgbClr val="B9E0F7"/>
      </a:lt2>
      <a:accent1>
        <a:srgbClr val="E31B23"/>
      </a:accent1>
      <a:accent2>
        <a:srgbClr val="004B8D"/>
      </a:accent2>
      <a:accent3>
        <a:srgbClr val="0096D6"/>
      </a:accent3>
      <a:accent4>
        <a:srgbClr val="B5121B"/>
      </a:accent4>
      <a:accent5>
        <a:srgbClr val="B9E0F7"/>
      </a:accent5>
      <a:accent6>
        <a:srgbClr val="13B5EA"/>
      </a:accent6>
      <a:hlink>
        <a:srgbClr val="004B8D"/>
      </a:hlink>
      <a:folHlink>
        <a:srgbClr val="B5121B"/>
      </a:folHlink>
    </a:clrScheme>
    <a:fontScheme name="MPO fonts">
      <a:majorFont>
        <a:latin typeface="Calibri"/>
        <a:ea typeface=""/>
        <a:cs typeface=""/>
      </a:majorFont>
      <a:minorFont>
        <a:latin typeface="Calibri"/>
        <a:ea typeface=""/>
        <a:cs typeface=""/>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218751-C3A1-4DBB-AAA3-9C5C7372A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9AD029DB.dotm</Template>
  <TotalTime>9</TotalTime>
  <Pages>91</Pages>
  <Words>36733</Words>
  <Characters>216725</Characters>
  <Application>Microsoft Office Word</Application>
  <DocSecurity>0</DocSecurity>
  <Lines>1806</Lines>
  <Paragraphs>505</Paragraphs>
  <ScaleCrop>false</ScaleCrop>
  <HeadingPairs>
    <vt:vector size="2" baseType="variant">
      <vt:variant>
        <vt:lpstr>Název</vt:lpstr>
      </vt:variant>
      <vt:variant>
        <vt:i4>1</vt:i4>
      </vt:variant>
    </vt:vector>
  </HeadingPairs>
  <TitlesOfParts>
    <vt:vector size="1" baseType="lpstr">
      <vt:lpstr/>
    </vt:vector>
  </TitlesOfParts>
  <Company>Ministerstvo průmyslu a obchodu</Company>
  <LinksUpToDate>false</LinksUpToDate>
  <CharactersWithSpaces>252953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Trkanová Martina</dc:creator>
  <cp:lastModifiedBy>Trkanová Martina</cp:lastModifiedBy>
  <cp:revision>3</cp:revision>
  <dcterms:created xsi:type="dcterms:W3CDTF">2020-03-05T09:10:00Z</dcterms:created>
  <dcterms:modified xsi:type="dcterms:W3CDTF">2020-03-05T09:18:00Z</dcterms:modified>
</cp:coreProperties>
</file>